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503" w:rsidRPr="004E4503" w:rsidRDefault="00AC7A5F" w:rsidP="00E93BC2">
      <w:pPr>
        <w:shd w:val="clear" w:color="auto" w:fill="FFFFFF"/>
        <w:spacing w:before="120" w:after="120" w:line="240" w:lineRule="auto"/>
        <w:rPr>
          <w:rFonts w:ascii="Times New Roman" w:eastAsia="Times New Roman" w:hAnsi="Times New Roman" w:cs="Times New Roman"/>
          <w:color w:val="444444"/>
          <w:sz w:val="24"/>
          <w:szCs w:val="24"/>
        </w:rPr>
      </w:pPr>
      <w:r>
        <w:rPr>
          <w:noProof/>
        </w:rPr>
        <w:drawing>
          <wp:anchor distT="0" distB="0" distL="114300" distR="114300" simplePos="0" relativeHeight="251658240" behindDoc="0" locked="0" layoutInCell="1" allowOverlap="1">
            <wp:simplePos x="457200" y="981075"/>
            <wp:positionH relativeFrom="margin">
              <wp:align>right</wp:align>
            </wp:positionH>
            <wp:positionV relativeFrom="margin">
              <wp:align>top</wp:align>
            </wp:positionV>
            <wp:extent cx="885825" cy="885825"/>
            <wp:effectExtent l="0" t="0" r="9525" b="9525"/>
            <wp:wrapSquare wrapText="bothSides"/>
            <wp:docPr id="2054" name="Picture 6" descr="Politics and Government - Category Color Purple"/>
            <wp:cNvGraphicFramePr/>
            <a:graphic xmlns:a="http://schemas.openxmlformats.org/drawingml/2006/main">
              <a:graphicData uri="http://schemas.openxmlformats.org/drawingml/2006/picture">
                <pic:pic xmlns:pic="http://schemas.openxmlformats.org/drawingml/2006/picture">
                  <pic:nvPicPr>
                    <pic:cNvPr id="2054" name="Picture 6" descr="Politics and Government - Category Color Purpl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extLst/>
                  </pic:spPr>
                </pic:pic>
              </a:graphicData>
            </a:graphic>
          </wp:anchor>
        </w:drawing>
      </w:r>
      <w:r w:rsidR="004E4503" w:rsidRPr="004E4503">
        <w:rPr>
          <w:rFonts w:ascii="franklin gothic" w:eastAsia="Times New Roman" w:hAnsi="franklin gothic" w:cs="Times New Roman"/>
          <w:color w:val="444444"/>
          <w:sz w:val="20"/>
          <w:szCs w:val="20"/>
        </w:rPr>
        <w:t>​</w:t>
      </w:r>
      <w:r w:rsidR="004E4503" w:rsidRPr="004E4503">
        <w:rPr>
          <w:rFonts w:ascii="Times New Roman" w:eastAsia="Times New Roman" w:hAnsi="Times New Roman" w:cs="Times New Roman"/>
          <w:b/>
          <w:color w:val="0070C0"/>
          <w:sz w:val="24"/>
          <w:szCs w:val="24"/>
        </w:rPr>
        <w:t>Par</w:t>
      </w:r>
      <w:r w:rsidR="005011D6" w:rsidRPr="00E93BC2">
        <w:rPr>
          <w:rFonts w:ascii="Times New Roman" w:eastAsia="Times New Roman" w:hAnsi="Times New Roman" w:cs="Times New Roman"/>
          <w:b/>
          <w:color w:val="0070C0"/>
          <w:sz w:val="24"/>
          <w:szCs w:val="24"/>
        </w:rPr>
        <w:t>t 1</w:t>
      </w:r>
      <w:r w:rsidR="00FA720C">
        <w:rPr>
          <w:rFonts w:ascii="Times New Roman" w:eastAsia="Times New Roman" w:hAnsi="Times New Roman" w:cs="Times New Roman"/>
          <w:b/>
          <w:color w:val="0070C0"/>
          <w:sz w:val="24"/>
          <w:szCs w:val="24"/>
        </w:rPr>
        <w:t>: October 1, 2014</w:t>
      </w:r>
    </w:p>
    <w:p w:rsidR="004E4503" w:rsidRPr="004E4503" w:rsidRDefault="004E4503" w:rsidP="00E93BC2">
      <w:pPr>
        <w:shd w:val="clear" w:color="auto" w:fill="FFFFFF"/>
        <w:spacing w:before="120" w:after="120" w:line="240" w:lineRule="auto"/>
        <w:rPr>
          <w:rFonts w:ascii="Times New Roman" w:eastAsia="Times New Roman" w:hAnsi="Times New Roman" w:cs="Times New Roman"/>
          <w:color w:val="444444"/>
          <w:sz w:val="24"/>
          <w:szCs w:val="24"/>
        </w:rPr>
      </w:pPr>
      <w:r w:rsidRPr="004E4503">
        <w:rPr>
          <w:rFonts w:ascii="Times New Roman" w:eastAsia="Times New Roman" w:hAnsi="Times New Roman" w:cs="Times New Roman"/>
          <w:color w:val="444444"/>
          <w:sz w:val="24"/>
          <w:szCs w:val="24"/>
        </w:rPr>
        <w:t>In 2007, approximately 80% of Indiana local governments’ budgets were funded by property taxes. Today, property taxes fund just 39% of all local budgets (including public schools) and 60% of all municipal budgets.</w:t>
      </w:r>
    </w:p>
    <w:p w:rsidR="004E4503" w:rsidRPr="004E4503" w:rsidRDefault="004E4503" w:rsidP="00E93BC2">
      <w:pPr>
        <w:shd w:val="clear" w:color="auto" w:fill="FFFFFF"/>
        <w:spacing w:before="120" w:after="120" w:line="240" w:lineRule="auto"/>
        <w:rPr>
          <w:rFonts w:ascii="Times New Roman" w:eastAsia="Times New Roman" w:hAnsi="Times New Roman" w:cs="Times New Roman"/>
          <w:color w:val="444444"/>
          <w:sz w:val="24"/>
          <w:szCs w:val="24"/>
        </w:rPr>
      </w:pPr>
      <w:r w:rsidRPr="004E4503">
        <w:rPr>
          <w:rFonts w:ascii="Times New Roman" w:eastAsia="Times New Roman" w:hAnsi="Times New Roman" w:cs="Times New Roman"/>
          <w:color w:val="444444"/>
          <w:sz w:val="24"/>
          <w:szCs w:val="24"/>
        </w:rPr>
        <w:t>A complex mixture of property tax caps and other factors affecting Indiana’s property tax system caused that change. Propelled by a 1998 Indiana Supreme Court mandate to change the way real property was assessed for tax purposes, the Indiana General Assembly not only changed how property is valued, they enacted multiple ways to provide their constituents with relief from property taxes.</w:t>
      </w:r>
    </w:p>
    <w:p w:rsidR="004E4503" w:rsidRPr="004E4503" w:rsidRDefault="004E4503" w:rsidP="00E93BC2">
      <w:pPr>
        <w:shd w:val="clear" w:color="auto" w:fill="FFFFFF"/>
        <w:spacing w:before="120" w:after="120" w:line="240" w:lineRule="auto"/>
        <w:rPr>
          <w:rFonts w:ascii="Times New Roman" w:eastAsia="Times New Roman" w:hAnsi="Times New Roman" w:cs="Times New Roman"/>
          <w:color w:val="444444"/>
          <w:sz w:val="24"/>
          <w:szCs w:val="24"/>
        </w:rPr>
      </w:pPr>
      <w:r w:rsidRPr="004E4503">
        <w:rPr>
          <w:rFonts w:ascii="Times New Roman" w:eastAsia="Times New Roman" w:hAnsi="Times New Roman" w:cs="Times New Roman"/>
          <w:color w:val="444444"/>
          <w:sz w:val="24"/>
          <w:szCs w:val="24"/>
        </w:rPr>
        <w:t>They also gave local governments additional options for replacing the revenue – including Local Option Income Taxes (LOIT).</w:t>
      </w:r>
    </w:p>
    <w:p w:rsidR="004E4503" w:rsidRPr="004E4503" w:rsidRDefault="004E4503" w:rsidP="00E93BC2">
      <w:pPr>
        <w:shd w:val="clear" w:color="auto" w:fill="FFFFFF"/>
        <w:spacing w:before="120" w:after="120" w:line="240" w:lineRule="auto"/>
        <w:rPr>
          <w:rFonts w:ascii="Times New Roman" w:eastAsia="Times New Roman" w:hAnsi="Times New Roman" w:cs="Times New Roman"/>
          <w:color w:val="444444"/>
          <w:sz w:val="24"/>
          <w:szCs w:val="24"/>
        </w:rPr>
      </w:pPr>
      <w:r w:rsidRPr="004E4503">
        <w:rPr>
          <w:rFonts w:ascii="Times New Roman" w:eastAsia="Times New Roman" w:hAnsi="Times New Roman" w:cs="Times New Roman"/>
          <w:color w:val="444444"/>
          <w:sz w:val="24"/>
          <w:szCs w:val="24"/>
        </w:rPr>
        <w:t>When these major changes were enacted, legislators and others used a set of assumptions and financial projections about how this would all work out.</w:t>
      </w:r>
    </w:p>
    <w:p w:rsidR="004E4503" w:rsidRPr="004E4503" w:rsidRDefault="004E4503" w:rsidP="00E93BC2">
      <w:pPr>
        <w:shd w:val="clear" w:color="auto" w:fill="FFFFFF"/>
        <w:spacing w:before="120" w:after="120" w:line="240" w:lineRule="auto"/>
        <w:rPr>
          <w:rFonts w:ascii="Times New Roman" w:eastAsia="Times New Roman" w:hAnsi="Times New Roman" w:cs="Times New Roman"/>
          <w:color w:val="444444"/>
          <w:sz w:val="24"/>
          <w:szCs w:val="24"/>
        </w:rPr>
      </w:pPr>
      <w:r w:rsidRPr="004E4503">
        <w:rPr>
          <w:rFonts w:ascii="Times New Roman" w:eastAsia="Times New Roman" w:hAnsi="Times New Roman" w:cs="Times New Roman"/>
          <w:color w:val="444444"/>
          <w:sz w:val="24"/>
          <w:szCs w:val="24"/>
        </w:rPr>
        <w:t>It’s very much like the TV network sports commentators at the beginning of a football game. They will project that based on past performance, one team might be favored over the other. Of course, that assumes the favored team will be at its peak, the underdog will perform as they have in the past, no one gets injured, the weather cooperates and the rules of the game don’t change. But it is the score at the end of the game that tells the true story.</w:t>
      </w:r>
    </w:p>
    <w:p w:rsidR="004E4503" w:rsidRPr="004E4503" w:rsidRDefault="004E4503" w:rsidP="00E93BC2">
      <w:pPr>
        <w:shd w:val="clear" w:color="auto" w:fill="FFFFFF"/>
        <w:spacing w:before="120" w:after="120" w:line="240" w:lineRule="auto"/>
        <w:rPr>
          <w:rFonts w:ascii="Times New Roman" w:eastAsia="Times New Roman" w:hAnsi="Times New Roman" w:cs="Times New Roman"/>
          <w:color w:val="444444"/>
          <w:sz w:val="24"/>
          <w:szCs w:val="24"/>
        </w:rPr>
      </w:pPr>
      <w:proofErr w:type="spellStart"/>
      <w:r w:rsidRPr="004E4503">
        <w:rPr>
          <w:rFonts w:ascii="Times New Roman" w:eastAsia="Times New Roman" w:hAnsi="Times New Roman" w:cs="Times New Roman"/>
          <w:color w:val="444444"/>
          <w:sz w:val="24"/>
          <w:szCs w:val="24"/>
        </w:rPr>
        <w:t>Umbaugh</w:t>
      </w:r>
      <w:proofErr w:type="spellEnd"/>
      <w:r w:rsidRPr="004E4503">
        <w:rPr>
          <w:rFonts w:ascii="Times New Roman" w:eastAsia="Times New Roman" w:hAnsi="Times New Roman" w:cs="Times New Roman"/>
          <w:color w:val="444444"/>
          <w:sz w:val="24"/>
          <w:szCs w:val="24"/>
        </w:rPr>
        <w:t xml:space="preserve"> and Policy Analytics recently completed a study for the Indiana Association of Cities and Towns to analyze trends over the past eight years regarding revenue and budgets for local governmental units and schools.</w:t>
      </w:r>
    </w:p>
    <w:p w:rsidR="004E4503" w:rsidRPr="004E4503" w:rsidRDefault="004E4503" w:rsidP="00E93BC2">
      <w:pPr>
        <w:shd w:val="clear" w:color="auto" w:fill="FFFFFF"/>
        <w:spacing w:before="120" w:after="120" w:line="240" w:lineRule="auto"/>
        <w:rPr>
          <w:rFonts w:ascii="Times New Roman" w:eastAsia="Times New Roman" w:hAnsi="Times New Roman" w:cs="Times New Roman"/>
          <w:color w:val="444444"/>
          <w:sz w:val="24"/>
          <w:szCs w:val="24"/>
        </w:rPr>
      </w:pPr>
      <w:r w:rsidRPr="004E4503">
        <w:rPr>
          <w:rFonts w:ascii="Times New Roman" w:eastAsia="Times New Roman" w:hAnsi="Times New Roman" w:cs="Times New Roman"/>
          <w:color w:val="444444"/>
          <w:sz w:val="24"/>
          <w:szCs w:val="24"/>
        </w:rPr>
        <w:t>How are the changes in the revenue mix affecting local governments? Our assumption has always been that the changes would affect different localities in different ways, but do the numbers confirm those assumptions? Even if the impact varies, do we see trends? And what remedies could be recommended to assure local governments continue to have the ability to provide needed services to their citizens?</w:t>
      </w:r>
    </w:p>
    <w:p w:rsidR="004E4503" w:rsidRPr="004E4503" w:rsidRDefault="004E4503" w:rsidP="00E93BC2">
      <w:pPr>
        <w:shd w:val="clear" w:color="auto" w:fill="FFFFFF"/>
        <w:spacing w:before="120" w:after="120" w:line="240" w:lineRule="auto"/>
        <w:rPr>
          <w:rFonts w:ascii="Times New Roman" w:eastAsia="Times New Roman" w:hAnsi="Times New Roman" w:cs="Times New Roman"/>
          <w:color w:val="444444"/>
          <w:sz w:val="24"/>
          <w:szCs w:val="24"/>
        </w:rPr>
      </w:pPr>
      <w:r w:rsidRPr="004E4503">
        <w:rPr>
          <w:rFonts w:ascii="Times New Roman" w:eastAsia="Times New Roman" w:hAnsi="Times New Roman" w:cs="Times New Roman"/>
          <w:color w:val="444444"/>
          <w:sz w:val="24"/>
          <w:szCs w:val="24"/>
        </w:rPr>
        <w:t>Over the next few issues of Vision, we’ll detail the study results that were shared with IACT members in September. Here are three findings for you to think about until the next issue:</w:t>
      </w:r>
    </w:p>
    <w:p w:rsidR="004E4503" w:rsidRPr="004E4503" w:rsidRDefault="004E4503" w:rsidP="00E93BC2">
      <w:pPr>
        <w:shd w:val="clear" w:color="auto" w:fill="FFFFFF"/>
        <w:spacing w:before="120" w:after="120" w:line="240" w:lineRule="auto"/>
        <w:rPr>
          <w:rFonts w:ascii="Times New Roman" w:eastAsia="Times New Roman" w:hAnsi="Times New Roman" w:cs="Times New Roman"/>
          <w:color w:val="444444"/>
          <w:sz w:val="24"/>
          <w:szCs w:val="24"/>
        </w:rPr>
      </w:pPr>
      <w:r w:rsidRPr="004E4503">
        <w:rPr>
          <w:rFonts w:ascii="Times New Roman" w:eastAsia="Times New Roman" w:hAnsi="Times New Roman" w:cs="Times New Roman"/>
          <w:color w:val="444444"/>
          <w:sz w:val="24"/>
          <w:szCs w:val="24"/>
        </w:rPr>
        <w:t>1. All 92 counties have adopted LOITs to fund local budgets, capital projects or property tax relief.</w:t>
      </w:r>
    </w:p>
    <w:p w:rsidR="004E4503" w:rsidRPr="004E4503" w:rsidRDefault="004E4503" w:rsidP="00E93BC2">
      <w:pPr>
        <w:shd w:val="clear" w:color="auto" w:fill="FFFFFF"/>
        <w:spacing w:before="120" w:after="120" w:line="240" w:lineRule="auto"/>
        <w:rPr>
          <w:rFonts w:ascii="Times New Roman" w:eastAsia="Times New Roman" w:hAnsi="Times New Roman" w:cs="Times New Roman"/>
          <w:color w:val="444444"/>
          <w:sz w:val="24"/>
          <w:szCs w:val="24"/>
        </w:rPr>
      </w:pPr>
      <w:r w:rsidRPr="004E4503">
        <w:rPr>
          <w:rFonts w:ascii="Times New Roman" w:eastAsia="Times New Roman" w:hAnsi="Times New Roman" w:cs="Times New Roman"/>
          <w:color w:val="444444"/>
          <w:sz w:val="24"/>
          <w:szCs w:val="24"/>
        </w:rPr>
        <w:t>2. The losses property tax caps are much greater than projected in 2007.</w:t>
      </w:r>
    </w:p>
    <w:p w:rsidR="004E4503" w:rsidRPr="004E4503" w:rsidRDefault="004E4503" w:rsidP="00E93BC2">
      <w:pPr>
        <w:shd w:val="clear" w:color="auto" w:fill="FFFFFF"/>
        <w:spacing w:before="120" w:after="120" w:line="240" w:lineRule="auto"/>
        <w:rPr>
          <w:rFonts w:ascii="Times New Roman" w:eastAsia="Times New Roman" w:hAnsi="Times New Roman" w:cs="Times New Roman"/>
          <w:color w:val="444444"/>
          <w:sz w:val="24"/>
          <w:szCs w:val="24"/>
        </w:rPr>
      </w:pPr>
      <w:r w:rsidRPr="004E4503">
        <w:rPr>
          <w:rFonts w:ascii="Times New Roman" w:eastAsia="Times New Roman" w:hAnsi="Times New Roman" w:cs="Times New Roman"/>
          <w:color w:val="444444"/>
          <w:sz w:val="24"/>
          <w:szCs w:val="24"/>
        </w:rPr>
        <w:t>3. Urban areas tend to lose the highest amounts to property tax caps (some up to 50%), and the losses are expected to continue growing.</w:t>
      </w:r>
    </w:p>
    <w:p w:rsidR="004E4503" w:rsidRPr="004E4503" w:rsidRDefault="004E4503" w:rsidP="00E93BC2">
      <w:pPr>
        <w:shd w:val="clear" w:color="auto" w:fill="FFFFFF"/>
        <w:spacing w:before="120" w:after="120" w:line="240" w:lineRule="auto"/>
        <w:rPr>
          <w:rFonts w:ascii="Times New Roman" w:eastAsia="Times New Roman" w:hAnsi="Times New Roman" w:cs="Times New Roman"/>
          <w:color w:val="444444"/>
          <w:sz w:val="24"/>
          <w:szCs w:val="24"/>
        </w:rPr>
      </w:pPr>
      <w:r w:rsidRPr="004E4503">
        <w:rPr>
          <w:rFonts w:ascii="Times New Roman" w:eastAsia="Times New Roman" w:hAnsi="Times New Roman" w:cs="Times New Roman"/>
          <w:color w:val="444444"/>
          <w:sz w:val="24"/>
          <w:szCs w:val="24"/>
        </w:rPr>
        <w:t>In future installments, we’ll explain more about “why,” “how much,” and the trends and remedies identified in the study.</w:t>
      </w:r>
    </w:p>
    <w:p w:rsidR="007B7C21" w:rsidRPr="00E93BC2" w:rsidRDefault="004E4503" w:rsidP="00E93BC2">
      <w:pPr>
        <w:spacing w:line="240" w:lineRule="auto"/>
        <w:rPr>
          <w:rFonts w:ascii="Times New Roman" w:hAnsi="Times New Roman" w:cs="Times New Roman"/>
          <w:sz w:val="24"/>
          <w:szCs w:val="24"/>
        </w:rPr>
      </w:pPr>
      <w:r w:rsidRPr="00E93BC2">
        <w:rPr>
          <w:rFonts w:ascii="Times New Roman" w:hAnsi="Times New Roman" w:cs="Times New Roman"/>
          <w:sz w:val="24"/>
          <w:szCs w:val="24"/>
        </w:rPr>
        <w:t>---</w:t>
      </w:r>
    </w:p>
    <w:p w:rsidR="00AC7A5F" w:rsidRDefault="00AC7A5F">
      <w:pPr>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br w:type="page"/>
      </w:r>
    </w:p>
    <w:p w:rsidR="004E4503" w:rsidRPr="004E4503" w:rsidRDefault="004E4503" w:rsidP="00FA720C">
      <w:pPr>
        <w:spacing w:line="240" w:lineRule="auto"/>
        <w:rPr>
          <w:rFonts w:ascii="Times New Roman" w:eastAsia="Times New Roman" w:hAnsi="Times New Roman" w:cs="Times New Roman"/>
          <w:b/>
          <w:color w:val="0070C0"/>
          <w:sz w:val="24"/>
          <w:szCs w:val="24"/>
        </w:rPr>
      </w:pPr>
      <w:r w:rsidRPr="004E4503">
        <w:rPr>
          <w:rFonts w:ascii="Times New Roman" w:eastAsia="Times New Roman" w:hAnsi="Times New Roman" w:cs="Times New Roman"/>
          <w:b/>
          <w:color w:val="0070C0"/>
          <w:sz w:val="24"/>
          <w:szCs w:val="24"/>
        </w:rPr>
        <w:lastRenderedPageBreak/>
        <w:t>Part 2</w:t>
      </w:r>
      <w:r w:rsidR="005011D6" w:rsidRPr="00E93BC2">
        <w:rPr>
          <w:rFonts w:ascii="Times New Roman" w:eastAsia="Times New Roman" w:hAnsi="Times New Roman" w:cs="Times New Roman"/>
          <w:b/>
          <w:color w:val="0070C0"/>
          <w:sz w:val="24"/>
          <w:szCs w:val="24"/>
        </w:rPr>
        <w:t>: January 8, 2015</w:t>
      </w:r>
      <w:r w:rsidRPr="004E4503">
        <w:rPr>
          <w:rFonts w:ascii="Times New Roman" w:eastAsia="Times New Roman" w:hAnsi="Times New Roman" w:cs="Times New Roman"/>
          <w:b/>
          <w:color w:val="0070C0"/>
          <w:sz w:val="24"/>
          <w:szCs w:val="24"/>
        </w:rPr>
        <w:t xml:space="preserve"> </w:t>
      </w:r>
    </w:p>
    <w:p w:rsidR="004E4503" w:rsidRPr="004E4503" w:rsidRDefault="004E4503" w:rsidP="00E93BC2">
      <w:pPr>
        <w:shd w:val="clear" w:color="auto" w:fill="FFFFFF"/>
        <w:spacing w:before="120" w:after="120" w:line="240" w:lineRule="auto"/>
        <w:rPr>
          <w:rFonts w:ascii="Times New Roman" w:eastAsia="Times New Roman" w:hAnsi="Times New Roman" w:cs="Times New Roman"/>
          <w:color w:val="444444"/>
          <w:sz w:val="24"/>
          <w:szCs w:val="24"/>
        </w:rPr>
      </w:pPr>
      <w:r w:rsidRPr="004E4503">
        <w:rPr>
          <w:rFonts w:ascii="Times New Roman" w:eastAsia="Times New Roman" w:hAnsi="Times New Roman" w:cs="Times New Roman"/>
          <w:color w:val="444444"/>
          <w:sz w:val="24"/>
          <w:szCs w:val="24"/>
        </w:rPr>
        <w:t>The change in local government funding didn’t happen overnight, and we can’t solve every challenge immediately, so this series will take some time to examine:</w:t>
      </w:r>
    </w:p>
    <w:p w:rsidR="004E4503" w:rsidRPr="004E4503" w:rsidRDefault="004E4503" w:rsidP="00E93BC2">
      <w:pPr>
        <w:shd w:val="clear" w:color="auto" w:fill="FFFFFF"/>
        <w:spacing w:after="0" w:line="240" w:lineRule="auto"/>
        <w:rPr>
          <w:rFonts w:ascii="Times New Roman" w:eastAsia="Times New Roman" w:hAnsi="Times New Roman" w:cs="Times New Roman"/>
          <w:color w:val="444444"/>
          <w:sz w:val="24"/>
          <w:szCs w:val="24"/>
        </w:rPr>
      </w:pPr>
      <w:r w:rsidRPr="004E4503">
        <w:rPr>
          <w:rFonts w:ascii="Times New Roman" w:eastAsia="Times New Roman" w:hAnsi="Times New Roman" w:cs="Times New Roman"/>
          <w:color w:val="444444"/>
          <w:sz w:val="24"/>
          <w:szCs w:val="24"/>
        </w:rPr>
        <w:t>1. How did we get here?</w:t>
      </w:r>
      <w:r w:rsidRPr="004E4503">
        <w:rPr>
          <w:rFonts w:ascii="Times New Roman" w:eastAsia="Times New Roman" w:hAnsi="Times New Roman" w:cs="Times New Roman"/>
          <w:color w:val="444444"/>
          <w:sz w:val="24"/>
          <w:szCs w:val="24"/>
        </w:rPr>
        <w:br/>
        <w:t>2. How have local governments been affected?</w:t>
      </w:r>
      <w:r w:rsidRPr="004E4503">
        <w:rPr>
          <w:rFonts w:ascii="Times New Roman" w:eastAsia="Times New Roman" w:hAnsi="Times New Roman" w:cs="Times New Roman"/>
          <w:color w:val="444444"/>
          <w:sz w:val="24"/>
          <w:szCs w:val="24"/>
        </w:rPr>
        <w:br/>
        <w:t>3. What do these changes mean for the future</w:t>
      </w:r>
      <w:proofErr w:type="gramStart"/>
      <w:r w:rsidRPr="004E4503">
        <w:rPr>
          <w:rFonts w:ascii="Times New Roman" w:eastAsia="Times New Roman" w:hAnsi="Times New Roman" w:cs="Times New Roman"/>
          <w:color w:val="444444"/>
          <w:sz w:val="24"/>
          <w:szCs w:val="24"/>
        </w:rPr>
        <w:t>?,</w:t>
      </w:r>
      <w:proofErr w:type="gramEnd"/>
      <w:r w:rsidRPr="004E4503">
        <w:rPr>
          <w:rFonts w:ascii="Times New Roman" w:eastAsia="Times New Roman" w:hAnsi="Times New Roman" w:cs="Times New Roman"/>
          <w:color w:val="444444"/>
          <w:sz w:val="24"/>
          <w:szCs w:val="24"/>
        </w:rPr>
        <w:t xml:space="preserve"> and</w:t>
      </w:r>
      <w:r w:rsidRPr="004E4503">
        <w:rPr>
          <w:rFonts w:ascii="Times New Roman" w:eastAsia="Times New Roman" w:hAnsi="Times New Roman" w:cs="Times New Roman"/>
          <w:color w:val="444444"/>
          <w:sz w:val="24"/>
          <w:szCs w:val="24"/>
        </w:rPr>
        <w:br/>
        <w:t>4. What options can we explore to adapt to these changes?</w:t>
      </w:r>
    </w:p>
    <w:p w:rsidR="004E4503" w:rsidRPr="004E4503" w:rsidRDefault="004E4503" w:rsidP="00E93BC2">
      <w:pPr>
        <w:shd w:val="clear" w:color="auto" w:fill="FFFFFF"/>
        <w:spacing w:before="120" w:after="120" w:line="240" w:lineRule="auto"/>
        <w:rPr>
          <w:rFonts w:ascii="Times New Roman" w:eastAsia="Times New Roman" w:hAnsi="Times New Roman" w:cs="Times New Roman"/>
          <w:color w:val="444444"/>
          <w:sz w:val="24"/>
          <w:szCs w:val="24"/>
        </w:rPr>
      </w:pPr>
      <w:r w:rsidRPr="004E4503">
        <w:rPr>
          <w:rFonts w:ascii="Times New Roman" w:eastAsia="Times New Roman" w:hAnsi="Times New Roman" w:cs="Times New Roman"/>
          <w:color w:val="444444"/>
          <w:sz w:val="24"/>
          <w:szCs w:val="24"/>
        </w:rPr>
        <w:t>In the first overview article, we cited the 1998 Indiana Supreme Court mandate to change how real property was assessed for tax purposes as a major factor causing the transition away from property tax funding. Some of the inequity issues in local government finance, however, actually date back to 1974 when Governor Otis Bowen initiated a property tax freeze.</w:t>
      </w:r>
    </w:p>
    <w:p w:rsidR="004E4503" w:rsidRPr="004E4503" w:rsidRDefault="004E4503" w:rsidP="00E93BC2">
      <w:pPr>
        <w:shd w:val="clear" w:color="auto" w:fill="FFFFFF"/>
        <w:spacing w:before="120" w:after="120" w:line="240" w:lineRule="auto"/>
        <w:rPr>
          <w:rFonts w:ascii="Times New Roman" w:eastAsia="Times New Roman" w:hAnsi="Times New Roman" w:cs="Times New Roman"/>
          <w:color w:val="444444"/>
          <w:sz w:val="24"/>
          <w:szCs w:val="24"/>
        </w:rPr>
      </w:pPr>
      <w:r w:rsidRPr="004E4503">
        <w:rPr>
          <w:rFonts w:ascii="Times New Roman" w:eastAsia="Times New Roman" w:hAnsi="Times New Roman" w:cs="Times New Roman"/>
          <w:color w:val="444444"/>
          <w:sz w:val="24"/>
          <w:szCs w:val="24"/>
        </w:rPr>
        <w:t>As you might imagine, the property tax freeze was highly popular, and Hoosiers appreciated the tax break. It kept property taxes at the same rate for a number of years. The freeze lead to state enacted levy controls we have today, limiting the percentage of increase in property taxes from one year to the next.</w:t>
      </w:r>
    </w:p>
    <w:p w:rsidR="004E4503" w:rsidRPr="004E4503" w:rsidRDefault="004E4503" w:rsidP="00E93BC2">
      <w:pPr>
        <w:shd w:val="clear" w:color="auto" w:fill="FFFFFF"/>
        <w:spacing w:before="120" w:after="120" w:line="240" w:lineRule="auto"/>
        <w:rPr>
          <w:rFonts w:ascii="Times New Roman" w:eastAsia="Times New Roman" w:hAnsi="Times New Roman" w:cs="Times New Roman"/>
          <w:color w:val="444444"/>
          <w:sz w:val="24"/>
          <w:szCs w:val="24"/>
        </w:rPr>
      </w:pPr>
      <w:r w:rsidRPr="004E4503">
        <w:rPr>
          <w:rFonts w:ascii="Times New Roman" w:eastAsia="Times New Roman" w:hAnsi="Times New Roman" w:cs="Times New Roman"/>
          <w:color w:val="444444"/>
          <w:sz w:val="24"/>
          <w:szCs w:val="24"/>
        </w:rPr>
        <w:t>Of course, no one in local governments anticipated a freeze or levy controls when they adopted their budgets in the year before the freeze. If you were frugal and had low tax rates, that’s where your rates stayed, and that was your starting point when levy controls went into effect.</w:t>
      </w:r>
    </w:p>
    <w:p w:rsidR="004E4503" w:rsidRPr="004E4503" w:rsidRDefault="004E4503" w:rsidP="00E93BC2">
      <w:pPr>
        <w:shd w:val="clear" w:color="auto" w:fill="FFFFFF"/>
        <w:spacing w:before="120" w:after="120" w:line="240" w:lineRule="auto"/>
        <w:rPr>
          <w:rFonts w:ascii="Times New Roman" w:eastAsia="Times New Roman" w:hAnsi="Times New Roman" w:cs="Times New Roman"/>
          <w:color w:val="444444"/>
          <w:sz w:val="24"/>
          <w:szCs w:val="24"/>
        </w:rPr>
      </w:pPr>
      <w:r w:rsidRPr="004E4503">
        <w:rPr>
          <w:rFonts w:ascii="Times New Roman" w:eastAsia="Times New Roman" w:hAnsi="Times New Roman" w:cs="Times New Roman"/>
          <w:color w:val="444444"/>
          <w:sz w:val="24"/>
          <w:szCs w:val="24"/>
        </w:rPr>
        <w:t>If you had a higher tax rate when the freeze was enacted, that higher rate became your baseline for the levy controls.</w:t>
      </w:r>
    </w:p>
    <w:p w:rsidR="004E4503" w:rsidRPr="004E4503" w:rsidRDefault="004E4503" w:rsidP="00E93BC2">
      <w:pPr>
        <w:shd w:val="clear" w:color="auto" w:fill="FFFFFF"/>
        <w:spacing w:before="120" w:after="120" w:line="240" w:lineRule="auto"/>
        <w:rPr>
          <w:rFonts w:ascii="Times New Roman" w:eastAsia="Times New Roman" w:hAnsi="Times New Roman" w:cs="Times New Roman"/>
          <w:color w:val="444444"/>
          <w:sz w:val="24"/>
          <w:szCs w:val="24"/>
        </w:rPr>
      </w:pPr>
      <w:r w:rsidRPr="004E4503">
        <w:rPr>
          <w:rFonts w:ascii="Times New Roman" w:eastAsia="Times New Roman" w:hAnsi="Times New Roman" w:cs="Times New Roman"/>
          <w:color w:val="444444"/>
          <w:sz w:val="24"/>
          <w:szCs w:val="24"/>
        </w:rPr>
        <w:t>So the “haves” were able to get more, and the “have nots” had less. There wasn’t a level playing field when levy controls started.</w:t>
      </w:r>
    </w:p>
    <w:p w:rsidR="004E4503" w:rsidRPr="004E4503" w:rsidRDefault="004E4503" w:rsidP="00E93BC2">
      <w:pPr>
        <w:shd w:val="clear" w:color="auto" w:fill="FFFFFF"/>
        <w:spacing w:before="120" w:after="120" w:line="240" w:lineRule="auto"/>
        <w:rPr>
          <w:rFonts w:ascii="Times New Roman" w:eastAsia="Times New Roman" w:hAnsi="Times New Roman" w:cs="Times New Roman"/>
          <w:color w:val="444444"/>
          <w:sz w:val="24"/>
          <w:szCs w:val="24"/>
        </w:rPr>
      </w:pPr>
      <w:r w:rsidRPr="004E4503">
        <w:rPr>
          <w:rFonts w:ascii="Times New Roman" w:eastAsia="Times New Roman" w:hAnsi="Times New Roman" w:cs="Times New Roman"/>
          <w:color w:val="444444"/>
          <w:sz w:val="24"/>
          <w:szCs w:val="24"/>
        </w:rPr>
        <w:t>In a future issue, we’ll explore more of how we got here starting with the relatively recent history of 2003 to 2014.</w:t>
      </w:r>
    </w:p>
    <w:p w:rsidR="004E4503" w:rsidRPr="00E93BC2" w:rsidRDefault="004E4503" w:rsidP="00E93BC2">
      <w:pPr>
        <w:spacing w:line="240" w:lineRule="auto"/>
        <w:rPr>
          <w:rFonts w:ascii="Times New Roman" w:hAnsi="Times New Roman" w:cs="Times New Roman"/>
          <w:sz w:val="24"/>
          <w:szCs w:val="24"/>
        </w:rPr>
      </w:pPr>
      <w:r w:rsidRPr="00E93BC2">
        <w:rPr>
          <w:rFonts w:ascii="Times New Roman" w:hAnsi="Times New Roman" w:cs="Times New Roman"/>
          <w:sz w:val="24"/>
          <w:szCs w:val="24"/>
        </w:rPr>
        <w:t>---</w:t>
      </w:r>
    </w:p>
    <w:p w:rsidR="00AC7A5F" w:rsidRDefault="00AC7A5F">
      <w:pPr>
        <w:rPr>
          <w:rFonts w:ascii="Times New Roman" w:eastAsia="Times New Roman" w:hAnsi="Times New Roman" w:cs="Times New Roman"/>
          <w:b/>
          <w:iCs/>
          <w:color w:val="0070C0"/>
          <w:sz w:val="24"/>
          <w:szCs w:val="24"/>
        </w:rPr>
      </w:pPr>
      <w:r>
        <w:rPr>
          <w:b/>
          <w:iCs/>
          <w:color w:val="0070C0"/>
        </w:rPr>
        <w:br w:type="page"/>
      </w:r>
    </w:p>
    <w:p w:rsidR="004E4503" w:rsidRPr="00E93BC2" w:rsidRDefault="004E4503" w:rsidP="00E93BC2">
      <w:pPr>
        <w:pStyle w:val="NormalWeb"/>
        <w:shd w:val="clear" w:color="auto" w:fill="FFFFFF"/>
        <w:spacing w:before="120" w:beforeAutospacing="0" w:after="120" w:afterAutospacing="0"/>
        <w:rPr>
          <w:b/>
          <w:color w:val="0070C0"/>
        </w:rPr>
      </w:pPr>
      <w:r w:rsidRPr="00E93BC2">
        <w:rPr>
          <w:b/>
          <w:iCs/>
          <w:color w:val="0070C0"/>
        </w:rPr>
        <w:lastRenderedPageBreak/>
        <w:t>Part</w:t>
      </w:r>
      <w:r w:rsidR="005011D6" w:rsidRPr="00E93BC2">
        <w:rPr>
          <w:b/>
          <w:iCs/>
          <w:color w:val="0070C0"/>
        </w:rPr>
        <w:t xml:space="preserve"> 3: March 17, 2015: How We Got Here</w:t>
      </w:r>
    </w:p>
    <w:p w:rsidR="004E4503" w:rsidRPr="00E93BC2" w:rsidRDefault="004E4503" w:rsidP="00E93BC2">
      <w:pPr>
        <w:pStyle w:val="NormalWeb"/>
        <w:shd w:val="clear" w:color="auto" w:fill="FFFFFF"/>
        <w:spacing w:before="0" w:beforeAutospacing="0" w:after="0" w:afterAutospacing="0"/>
        <w:rPr>
          <w:color w:val="444444"/>
        </w:rPr>
      </w:pPr>
      <w:r w:rsidRPr="00E93BC2">
        <w:rPr>
          <w:color w:val="444444"/>
        </w:rPr>
        <w:t>Our last article explained how the 1974 property tax freeze still affects the property tax rates we have today. (</w:t>
      </w:r>
      <w:hyperlink r:id="rId8" w:history="1">
        <w:r w:rsidRPr="00E93BC2">
          <w:rPr>
            <w:rStyle w:val="Hyperlink"/>
            <w:color w:val="999999"/>
          </w:rPr>
          <w:t>Click here</w:t>
        </w:r>
      </w:hyperlink>
      <w:r w:rsidRPr="00E93BC2">
        <w:rPr>
          <w:color w:val="444444"/>
        </w:rPr>
        <w:t>to read part one in the series or</w:t>
      </w:r>
      <w:r w:rsidRPr="00E93BC2">
        <w:rPr>
          <w:rStyle w:val="apple-converted-space"/>
          <w:color w:val="444444"/>
        </w:rPr>
        <w:t> </w:t>
      </w:r>
      <w:hyperlink r:id="rId9" w:history="1">
        <w:r w:rsidRPr="00E93BC2">
          <w:rPr>
            <w:rStyle w:val="Hyperlink"/>
            <w:color w:val="999999"/>
          </w:rPr>
          <w:t>click here</w:t>
        </w:r>
      </w:hyperlink>
      <w:r w:rsidRPr="00E93BC2">
        <w:rPr>
          <w:rStyle w:val="apple-converted-space"/>
          <w:color w:val="444444"/>
        </w:rPr>
        <w:t> </w:t>
      </w:r>
      <w:r w:rsidRPr="00E93BC2">
        <w:rPr>
          <w:color w:val="444444"/>
        </w:rPr>
        <w:t>to read part two.)</w:t>
      </w:r>
    </w:p>
    <w:p w:rsidR="004E4503" w:rsidRPr="00E93BC2" w:rsidRDefault="004E4503" w:rsidP="00E93BC2">
      <w:pPr>
        <w:pStyle w:val="NormalWeb"/>
        <w:shd w:val="clear" w:color="auto" w:fill="FFFFFF"/>
        <w:spacing w:before="120" w:beforeAutospacing="0" w:after="120" w:afterAutospacing="0"/>
        <w:rPr>
          <w:color w:val="444444"/>
        </w:rPr>
      </w:pPr>
      <w:r w:rsidRPr="00E93BC2">
        <w:rPr>
          <w:color w:val="444444"/>
        </w:rPr>
        <w:t>Let’s fast forward to the last 12 years, when Indiana transitioned to a market value assessment, made various reforms to property taxes and introduced property tax caps.</w:t>
      </w:r>
    </w:p>
    <w:p w:rsidR="004E4503" w:rsidRPr="00E93BC2" w:rsidRDefault="004E4503" w:rsidP="00E93BC2">
      <w:pPr>
        <w:pStyle w:val="NormalWeb"/>
        <w:shd w:val="clear" w:color="auto" w:fill="FFFFFF"/>
        <w:spacing w:before="120" w:beforeAutospacing="0" w:after="120" w:afterAutospacing="0"/>
        <w:rPr>
          <w:color w:val="444444"/>
        </w:rPr>
      </w:pPr>
      <w:r w:rsidRPr="00E93BC2">
        <w:rPr>
          <w:noProof/>
          <w:color w:val="444444"/>
        </w:rPr>
        <w:drawing>
          <wp:inline distT="0" distB="0" distL="0" distR="0">
            <wp:extent cx="6410325" cy="2257425"/>
            <wp:effectExtent l="0" t="0" r="9525" b="9525"/>
            <wp:docPr id="3" name="Picture 3" descr="tax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xGrap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0325" cy="2257425"/>
                    </a:xfrm>
                    <a:prstGeom prst="rect">
                      <a:avLst/>
                    </a:prstGeom>
                    <a:noFill/>
                    <a:ln>
                      <a:noFill/>
                    </a:ln>
                  </pic:spPr>
                </pic:pic>
              </a:graphicData>
            </a:graphic>
          </wp:inline>
        </w:drawing>
      </w:r>
    </w:p>
    <w:p w:rsidR="004E4503" w:rsidRPr="00E93BC2" w:rsidRDefault="004E4503" w:rsidP="00E93BC2">
      <w:pPr>
        <w:pStyle w:val="NormalWeb"/>
        <w:shd w:val="clear" w:color="auto" w:fill="FFFFFF"/>
        <w:spacing w:before="120" w:beforeAutospacing="0" w:after="120" w:afterAutospacing="0"/>
        <w:rPr>
          <w:color w:val="444444"/>
        </w:rPr>
      </w:pPr>
      <w:r w:rsidRPr="00E93BC2">
        <w:rPr>
          <w:color w:val="444444"/>
        </w:rPr>
        <w:t>Here’s a quick overview of a vast change in the property tax system just during the first five years (the orange section of the chart):</w:t>
      </w:r>
    </w:p>
    <w:p w:rsidR="004E4503" w:rsidRPr="00FA720C" w:rsidRDefault="004E4503" w:rsidP="00FA720C">
      <w:pPr>
        <w:pStyle w:val="ListParagraph"/>
        <w:numPr>
          <w:ilvl w:val="0"/>
          <w:numId w:val="3"/>
        </w:numPr>
        <w:shd w:val="clear" w:color="auto" w:fill="FFFFFF"/>
        <w:spacing w:after="0" w:line="240" w:lineRule="auto"/>
        <w:rPr>
          <w:rFonts w:ascii="Times New Roman" w:hAnsi="Times New Roman" w:cs="Times New Roman"/>
          <w:color w:val="444444"/>
          <w:sz w:val="24"/>
          <w:szCs w:val="24"/>
        </w:rPr>
      </w:pPr>
      <w:r w:rsidRPr="00FA720C">
        <w:rPr>
          <w:rFonts w:ascii="Times New Roman" w:hAnsi="Times New Roman" w:cs="Times New Roman"/>
          <w:color w:val="444444"/>
          <w:sz w:val="24"/>
          <w:szCs w:val="24"/>
        </w:rPr>
        <w:t>All real property was reassessed (due to the 1998 Indiana Supreme Court ruling that the replacement cost method was unconstitutional) using 1999 market values for taxes payable in 2003. (2003)</w:t>
      </w:r>
    </w:p>
    <w:p w:rsidR="004E4503" w:rsidRPr="00FA720C" w:rsidRDefault="004E4503" w:rsidP="00FA720C">
      <w:pPr>
        <w:pStyle w:val="ListParagraph"/>
        <w:numPr>
          <w:ilvl w:val="0"/>
          <w:numId w:val="3"/>
        </w:numPr>
        <w:shd w:val="clear" w:color="auto" w:fill="FFFFFF"/>
        <w:spacing w:after="0" w:line="240" w:lineRule="auto"/>
        <w:rPr>
          <w:rFonts w:ascii="Times New Roman" w:hAnsi="Times New Roman" w:cs="Times New Roman"/>
          <w:color w:val="444444"/>
          <w:sz w:val="24"/>
          <w:szCs w:val="24"/>
        </w:rPr>
      </w:pPr>
      <w:r w:rsidRPr="00FA720C">
        <w:rPr>
          <w:rFonts w:ascii="Times New Roman" w:hAnsi="Times New Roman" w:cs="Times New Roman"/>
          <w:color w:val="444444"/>
          <w:sz w:val="24"/>
          <w:szCs w:val="24"/>
        </w:rPr>
        <w:t>The Homestead deduction was increased to $35K (2003)</w:t>
      </w:r>
    </w:p>
    <w:p w:rsidR="004E4503" w:rsidRPr="00FA720C" w:rsidRDefault="004E4503" w:rsidP="00FA720C">
      <w:pPr>
        <w:pStyle w:val="ListParagraph"/>
        <w:numPr>
          <w:ilvl w:val="0"/>
          <w:numId w:val="3"/>
        </w:numPr>
        <w:shd w:val="clear" w:color="auto" w:fill="FFFFFF"/>
        <w:spacing w:after="0" w:line="240" w:lineRule="auto"/>
        <w:rPr>
          <w:rFonts w:ascii="Times New Roman" w:hAnsi="Times New Roman" w:cs="Times New Roman"/>
          <w:color w:val="444444"/>
          <w:sz w:val="24"/>
          <w:szCs w:val="24"/>
        </w:rPr>
      </w:pPr>
      <w:r w:rsidRPr="00FA720C">
        <w:rPr>
          <w:rFonts w:ascii="Times New Roman" w:hAnsi="Times New Roman" w:cs="Times New Roman"/>
          <w:color w:val="444444"/>
          <w:sz w:val="24"/>
          <w:szCs w:val="24"/>
        </w:rPr>
        <w:t>Counties were given the option to remove inventory from the tax base (required by 2007). (2004)</w:t>
      </w:r>
    </w:p>
    <w:p w:rsidR="004E4503" w:rsidRPr="00FA720C" w:rsidRDefault="004E4503" w:rsidP="00FA720C">
      <w:pPr>
        <w:pStyle w:val="ListParagraph"/>
        <w:numPr>
          <w:ilvl w:val="0"/>
          <w:numId w:val="3"/>
        </w:numPr>
        <w:shd w:val="clear" w:color="auto" w:fill="FFFFFF"/>
        <w:spacing w:after="0" w:line="240" w:lineRule="auto"/>
        <w:rPr>
          <w:rFonts w:ascii="Times New Roman" w:hAnsi="Times New Roman" w:cs="Times New Roman"/>
          <w:color w:val="444444"/>
          <w:sz w:val="24"/>
          <w:szCs w:val="24"/>
        </w:rPr>
      </w:pPr>
      <w:r w:rsidRPr="00FA720C">
        <w:rPr>
          <w:rFonts w:ascii="Times New Roman" w:hAnsi="Times New Roman" w:cs="Times New Roman"/>
          <w:color w:val="444444"/>
          <w:sz w:val="24"/>
          <w:szCs w:val="24"/>
        </w:rPr>
        <w:t>Banked levies were eliminated, removing an option for units to accumulate reserve funding. (2004)</w:t>
      </w:r>
    </w:p>
    <w:p w:rsidR="004E4503" w:rsidRPr="00FA720C" w:rsidRDefault="004E4503" w:rsidP="00FA720C">
      <w:pPr>
        <w:pStyle w:val="ListParagraph"/>
        <w:numPr>
          <w:ilvl w:val="0"/>
          <w:numId w:val="3"/>
        </w:numPr>
        <w:shd w:val="clear" w:color="auto" w:fill="FFFFFF"/>
        <w:spacing w:after="0" w:line="240" w:lineRule="auto"/>
        <w:rPr>
          <w:rFonts w:ascii="Times New Roman" w:hAnsi="Times New Roman" w:cs="Times New Roman"/>
          <w:color w:val="444444"/>
          <w:sz w:val="24"/>
          <w:szCs w:val="24"/>
        </w:rPr>
      </w:pPr>
      <w:r w:rsidRPr="00FA720C">
        <w:rPr>
          <w:rFonts w:ascii="Times New Roman" w:hAnsi="Times New Roman" w:cs="Times New Roman"/>
          <w:color w:val="444444"/>
          <w:sz w:val="24"/>
          <w:szCs w:val="24"/>
        </w:rPr>
        <w:t>Property tax rate caps or “circuit breakers” were introduced for the first time - to begin in 2008. As proposed then, rates would be capped at 2% for homesteads, and 3% for all other properties, when fully implemented. (2006)</w:t>
      </w:r>
    </w:p>
    <w:p w:rsidR="004E4503" w:rsidRPr="00FA720C" w:rsidRDefault="004E4503" w:rsidP="00FA720C">
      <w:pPr>
        <w:pStyle w:val="ListParagraph"/>
        <w:numPr>
          <w:ilvl w:val="0"/>
          <w:numId w:val="3"/>
        </w:numPr>
        <w:shd w:val="clear" w:color="auto" w:fill="FFFFFF"/>
        <w:spacing w:after="0" w:line="240" w:lineRule="auto"/>
        <w:rPr>
          <w:rFonts w:ascii="Times New Roman" w:hAnsi="Times New Roman" w:cs="Times New Roman"/>
          <w:color w:val="444444"/>
          <w:sz w:val="24"/>
          <w:szCs w:val="24"/>
        </w:rPr>
      </w:pPr>
      <w:r w:rsidRPr="00FA720C">
        <w:rPr>
          <w:rFonts w:ascii="Times New Roman" w:hAnsi="Times New Roman" w:cs="Times New Roman"/>
          <w:color w:val="444444"/>
          <w:sz w:val="24"/>
          <w:szCs w:val="24"/>
        </w:rPr>
        <w:t>In what we call the property tax “crisis” statewide trending resulted in significant property tax increases for residential taxpayers. (2007)</w:t>
      </w:r>
    </w:p>
    <w:p w:rsidR="004E4503" w:rsidRPr="00FA720C" w:rsidRDefault="004E4503" w:rsidP="00FA720C">
      <w:pPr>
        <w:pStyle w:val="ListParagraph"/>
        <w:numPr>
          <w:ilvl w:val="0"/>
          <w:numId w:val="3"/>
        </w:numPr>
        <w:shd w:val="clear" w:color="auto" w:fill="FFFFFF"/>
        <w:spacing w:after="0" w:line="240" w:lineRule="auto"/>
        <w:rPr>
          <w:rFonts w:ascii="Times New Roman" w:hAnsi="Times New Roman" w:cs="Times New Roman"/>
          <w:color w:val="444444"/>
          <w:sz w:val="24"/>
          <w:szCs w:val="24"/>
        </w:rPr>
      </w:pPr>
      <w:r w:rsidRPr="00FA720C">
        <w:rPr>
          <w:rFonts w:ascii="Times New Roman" w:hAnsi="Times New Roman" w:cs="Times New Roman"/>
          <w:color w:val="444444"/>
          <w:sz w:val="24"/>
          <w:szCs w:val="24"/>
        </w:rPr>
        <w:t>Inventories were fully exempted from the tax base (approximately 4.7% of Net Assessed Valuation or NAV) (2007)</w:t>
      </w:r>
    </w:p>
    <w:p w:rsidR="004E4503" w:rsidRPr="00FA720C" w:rsidRDefault="004E4503" w:rsidP="00FA720C">
      <w:pPr>
        <w:pStyle w:val="ListParagraph"/>
        <w:numPr>
          <w:ilvl w:val="0"/>
          <w:numId w:val="3"/>
        </w:numPr>
        <w:shd w:val="clear" w:color="auto" w:fill="FFFFFF"/>
        <w:spacing w:after="0" w:line="240" w:lineRule="auto"/>
        <w:rPr>
          <w:rFonts w:ascii="Times New Roman" w:hAnsi="Times New Roman" w:cs="Times New Roman"/>
          <w:color w:val="444444"/>
          <w:sz w:val="24"/>
          <w:szCs w:val="24"/>
        </w:rPr>
      </w:pPr>
      <w:r w:rsidRPr="00FA720C">
        <w:rPr>
          <w:rFonts w:ascii="Times New Roman" w:hAnsi="Times New Roman" w:cs="Times New Roman"/>
          <w:color w:val="444444"/>
          <w:sz w:val="24"/>
          <w:szCs w:val="24"/>
        </w:rPr>
        <w:t>Limits were placed on State property tax relief. (2007)</w:t>
      </w:r>
    </w:p>
    <w:p w:rsidR="004E4503" w:rsidRPr="00FA720C" w:rsidRDefault="004E4503" w:rsidP="00FA720C">
      <w:pPr>
        <w:pStyle w:val="ListParagraph"/>
        <w:numPr>
          <w:ilvl w:val="0"/>
          <w:numId w:val="3"/>
        </w:numPr>
        <w:shd w:val="clear" w:color="auto" w:fill="FFFFFF"/>
        <w:spacing w:after="0" w:line="240" w:lineRule="auto"/>
        <w:rPr>
          <w:rFonts w:ascii="Times New Roman" w:hAnsi="Times New Roman" w:cs="Times New Roman"/>
          <w:color w:val="444444"/>
          <w:sz w:val="24"/>
          <w:szCs w:val="24"/>
        </w:rPr>
      </w:pPr>
      <w:r w:rsidRPr="00FA720C">
        <w:rPr>
          <w:rFonts w:ascii="Times New Roman" w:hAnsi="Times New Roman" w:cs="Times New Roman"/>
          <w:color w:val="444444"/>
          <w:sz w:val="24"/>
          <w:szCs w:val="24"/>
        </w:rPr>
        <w:t>The General Assembly issued a one-time homestead rebate to offset property tax increases. (2007)</w:t>
      </w:r>
    </w:p>
    <w:p w:rsidR="004E4503" w:rsidRPr="00FA720C" w:rsidRDefault="004E4503" w:rsidP="00FA720C">
      <w:pPr>
        <w:pStyle w:val="ListParagraph"/>
        <w:numPr>
          <w:ilvl w:val="0"/>
          <w:numId w:val="3"/>
        </w:numPr>
        <w:shd w:val="clear" w:color="auto" w:fill="FFFFFF"/>
        <w:spacing w:after="0" w:line="240" w:lineRule="auto"/>
        <w:rPr>
          <w:rFonts w:ascii="Times New Roman" w:hAnsi="Times New Roman" w:cs="Times New Roman"/>
          <w:color w:val="444444"/>
          <w:sz w:val="24"/>
          <w:szCs w:val="24"/>
        </w:rPr>
      </w:pPr>
      <w:r w:rsidRPr="00FA720C">
        <w:rPr>
          <w:rFonts w:ascii="Times New Roman" w:hAnsi="Times New Roman" w:cs="Times New Roman"/>
          <w:color w:val="444444"/>
          <w:sz w:val="24"/>
          <w:szCs w:val="24"/>
        </w:rPr>
        <w:t>Maximum levy banking was re-introduced, but at a 50% level. (2007)</w:t>
      </w:r>
    </w:p>
    <w:p w:rsidR="004E4503" w:rsidRPr="00FA720C" w:rsidRDefault="004E4503" w:rsidP="00FA720C">
      <w:pPr>
        <w:pStyle w:val="ListParagraph"/>
        <w:numPr>
          <w:ilvl w:val="0"/>
          <w:numId w:val="3"/>
        </w:numPr>
        <w:shd w:val="clear" w:color="auto" w:fill="FFFFFF"/>
        <w:spacing w:after="0" w:line="240" w:lineRule="auto"/>
        <w:rPr>
          <w:rFonts w:ascii="Times New Roman" w:hAnsi="Times New Roman" w:cs="Times New Roman"/>
          <w:color w:val="444444"/>
          <w:sz w:val="24"/>
          <w:szCs w:val="24"/>
        </w:rPr>
      </w:pPr>
      <w:r w:rsidRPr="00FA720C">
        <w:rPr>
          <w:rFonts w:ascii="Times New Roman" w:hAnsi="Times New Roman" w:cs="Times New Roman"/>
          <w:color w:val="444444"/>
          <w:sz w:val="24"/>
          <w:szCs w:val="24"/>
        </w:rPr>
        <w:t>The Standard Deduction increased to $45K (3.5% of NAV) (2007)</w:t>
      </w:r>
    </w:p>
    <w:p w:rsidR="00FA720C" w:rsidRDefault="00FA720C" w:rsidP="00E93BC2">
      <w:pPr>
        <w:pStyle w:val="NormalWeb"/>
        <w:shd w:val="clear" w:color="auto" w:fill="FFFFFF"/>
        <w:spacing w:before="0" w:beforeAutospacing="0" w:after="0" w:afterAutospacing="0"/>
        <w:rPr>
          <w:b/>
          <w:bCs/>
          <w:color w:val="444444"/>
        </w:rPr>
      </w:pPr>
    </w:p>
    <w:p w:rsidR="004E4503" w:rsidRPr="00E93BC2" w:rsidRDefault="004E4503" w:rsidP="00E93BC2">
      <w:pPr>
        <w:pStyle w:val="NormalWeb"/>
        <w:shd w:val="clear" w:color="auto" w:fill="FFFFFF"/>
        <w:spacing w:before="0" w:beforeAutospacing="0" w:after="0" w:afterAutospacing="0"/>
        <w:rPr>
          <w:color w:val="444444"/>
        </w:rPr>
      </w:pPr>
      <w:r w:rsidRPr="00E93BC2">
        <w:rPr>
          <w:b/>
          <w:bCs/>
          <w:color w:val="444444"/>
        </w:rPr>
        <w:t>What contributed to the 2007 property tax crisis?</w:t>
      </w:r>
    </w:p>
    <w:p w:rsidR="004E4503" w:rsidRPr="00E93BC2" w:rsidRDefault="004E4503" w:rsidP="00E93BC2">
      <w:pPr>
        <w:pStyle w:val="NormalWeb"/>
        <w:shd w:val="clear" w:color="auto" w:fill="FFFFFF"/>
        <w:spacing w:before="120" w:beforeAutospacing="0" w:after="120" w:afterAutospacing="0"/>
        <w:rPr>
          <w:color w:val="444444"/>
        </w:rPr>
      </w:pPr>
      <w:r w:rsidRPr="00E93BC2">
        <w:rPr>
          <w:color w:val="444444"/>
        </w:rPr>
        <w:t>Six years’ worth of market value changes (some due to the housing “bubble”) was incorporated into assessed values in a single year. Depending on where you are, the change in average Homestead Gross AV could be dramatic:</w:t>
      </w:r>
    </w:p>
    <w:tbl>
      <w:tblPr>
        <w:tblW w:w="0" w:type="auto"/>
        <w:jc w:val="center"/>
        <w:shd w:val="clear" w:color="auto" w:fill="FFFFFF"/>
        <w:tblCellMar>
          <w:top w:w="75" w:type="dxa"/>
          <w:left w:w="75" w:type="dxa"/>
          <w:bottom w:w="75" w:type="dxa"/>
          <w:right w:w="75" w:type="dxa"/>
        </w:tblCellMar>
        <w:tblLook w:val="04A0" w:firstRow="1" w:lastRow="0" w:firstColumn="1" w:lastColumn="0" w:noHBand="0" w:noVBand="1"/>
      </w:tblPr>
      <w:tblGrid>
        <w:gridCol w:w="1455"/>
        <w:gridCol w:w="4889"/>
      </w:tblGrid>
      <w:tr w:rsidR="004E4503" w:rsidRPr="00E93BC2" w:rsidTr="00A74C5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E4503" w:rsidRPr="00E93BC2" w:rsidRDefault="004E4503" w:rsidP="00E93BC2">
            <w:pPr>
              <w:spacing w:line="240" w:lineRule="auto"/>
              <w:rPr>
                <w:rFonts w:ascii="Times New Roman" w:hAnsi="Times New Roman" w:cs="Times New Roman"/>
                <w:color w:val="444444"/>
                <w:sz w:val="24"/>
                <w:szCs w:val="24"/>
              </w:rPr>
            </w:pPr>
            <w:r w:rsidRPr="00E93BC2">
              <w:rPr>
                <w:rFonts w:ascii="Times New Roman" w:hAnsi="Times New Roman" w:cs="Times New Roman"/>
                <w:color w:val="444444"/>
                <w:sz w:val="24"/>
                <w:szCs w:val="24"/>
              </w:rPr>
              <w:t> </w:t>
            </w:r>
            <w:r w:rsidRPr="00E93BC2">
              <w:rPr>
                <w:rFonts w:ascii="Times New Roman" w:hAnsi="Times New Roman" w:cs="Times New Roman"/>
                <w:b/>
                <w:bCs/>
                <w:color w:val="444444"/>
                <w:sz w:val="24"/>
                <w:szCs w:val="24"/>
              </w:rPr>
              <w:t>City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E4503" w:rsidRPr="00E93BC2" w:rsidRDefault="004E4503" w:rsidP="00E93BC2">
            <w:pPr>
              <w:spacing w:line="240" w:lineRule="auto"/>
              <w:rPr>
                <w:rFonts w:ascii="Times New Roman" w:hAnsi="Times New Roman" w:cs="Times New Roman"/>
                <w:color w:val="444444"/>
                <w:sz w:val="24"/>
                <w:szCs w:val="24"/>
              </w:rPr>
            </w:pPr>
            <w:r w:rsidRPr="00E93BC2">
              <w:rPr>
                <w:rFonts w:ascii="Times New Roman" w:hAnsi="Times New Roman" w:cs="Times New Roman"/>
                <w:b/>
                <w:bCs/>
                <w:color w:val="444444"/>
                <w:sz w:val="24"/>
                <w:szCs w:val="24"/>
              </w:rPr>
              <w:t>% change in Homestead AV 2005-06 to</w:t>
            </w:r>
            <w:r w:rsidRPr="00E93BC2">
              <w:rPr>
                <w:rStyle w:val="apple-converted-space"/>
                <w:rFonts w:ascii="Times New Roman" w:hAnsi="Times New Roman" w:cs="Times New Roman"/>
                <w:b/>
                <w:bCs/>
                <w:color w:val="444444"/>
                <w:sz w:val="24"/>
                <w:szCs w:val="24"/>
              </w:rPr>
              <w:t> </w:t>
            </w:r>
            <w:r w:rsidRPr="00E93BC2">
              <w:rPr>
                <w:rFonts w:ascii="Times New Roman" w:hAnsi="Times New Roman" w:cs="Times New Roman"/>
                <w:b/>
                <w:bCs/>
                <w:color w:val="444444"/>
                <w:sz w:val="24"/>
                <w:szCs w:val="24"/>
              </w:rPr>
              <w:t>2006-07</w:t>
            </w:r>
          </w:p>
        </w:tc>
      </w:tr>
      <w:tr w:rsidR="004E4503" w:rsidRPr="00E93BC2" w:rsidTr="00A74C5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E4503" w:rsidRPr="00E93BC2" w:rsidRDefault="004E4503" w:rsidP="00E93BC2">
            <w:pPr>
              <w:spacing w:line="240" w:lineRule="auto"/>
              <w:rPr>
                <w:rFonts w:ascii="Times New Roman" w:hAnsi="Times New Roman" w:cs="Times New Roman"/>
                <w:color w:val="444444"/>
                <w:sz w:val="24"/>
                <w:szCs w:val="24"/>
              </w:rPr>
            </w:pPr>
            <w:r w:rsidRPr="00E93BC2">
              <w:rPr>
                <w:rFonts w:ascii="Times New Roman" w:hAnsi="Times New Roman" w:cs="Times New Roman"/>
                <w:color w:val="444444"/>
                <w:sz w:val="24"/>
                <w:szCs w:val="24"/>
              </w:rPr>
              <w:t>Fort Wayne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E4503" w:rsidRPr="00E93BC2" w:rsidRDefault="004E4503" w:rsidP="00E93BC2">
            <w:pPr>
              <w:spacing w:line="240" w:lineRule="auto"/>
              <w:rPr>
                <w:rFonts w:ascii="Times New Roman" w:hAnsi="Times New Roman" w:cs="Times New Roman"/>
                <w:color w:val="444444"/>
                <w:sz w:val="24"/>
                <w:szCs w:val="24"/>
              </w:rPr>
            </w:pPr>
            <w:r w:rsidRPr="00E93BC2">
              <w:rPr>
                <w:rFonts w:ascii="Times New Roman" w:hAnsi="Times New Roman" w:cs="Times New Roman"/>
                <w:color w:val="444444"/>
                <w:sz w:val="24"/>
                <w:szCs w:val="24"/>
              </w:rPr>
              <w:t>29%</w:t>
            </w:r>
          </w:p>
        </w:tc>
      </w:tr>
      <w:tr w:rsidR="004E4503" w:rsidRPr="00E93BC2" w:rsidTr="00A74C5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E4503" w:rsidRPr="00E93BC2" w:rsidRDefault="004E4503" w:rsidP="00E93BC2">
            <w:pPr>
              <w:spacing w:line="240" w:lineRule="auto"/>
              <w:rPr>
                <w:rFonts w:ascii="Times New Roman" w:hAnsi="Times New Roman" w:cs="Times New Roman"/>
                <w:color w:val="444444"/>
                <w:sz w:val="24"/>
                <w:szCs w:val="24"/>
              </w:rPr>
            </w:pPr>
            <w:r w:rsidRPr="00E93BC2">
              <w:rPr>
                <w:rFonts w:ascii="Times New Roman" w:hAnsi="Times New Roman" w:cs="Times New Roman"/>
                <w:color w:val="444444"/>
                <w:sz w:val="24"/>
                <w:szCs w:val="24"/>
              </w:rPr>
              <w:lastRenderedPageBreak/>
              <w:t>Goshen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E4503" w:rsidRPr="00E93BC2" w:rsidRDefault="004E4503" w:rsidP="00E93BC2">
            <w:pPr>
              <w:spacing w:line="240" w:lineRule="auto"/>
              <w:rPr>
                <w:rFonts w:ascii="Times New Roman" w:hAnsi="Times New Roman" w:cs="Times New Roman"/>
                <w:color w:val="444444"/>
                <w:sz w:val="24"/>
                <w:szCs w:val="24"/>
              </w:rPr>
            </w:pPr>
            <w:r w:rsidRPr="00E93BC2">
              <w:rPr>
                <w:rFonts w:ascii="Times New Roman" w:hAnsi="Times New Roman" w:cs="Times New Roman"/>
                <w:color w:val="444444"/>
                <w:sz w:val="24"/>
                <w:szCs w:val="24"/>
              </w:rPr>
              <w:t>14%</w:t>
            </w:r>
          </w:p>
        </w:tc>
      </w:tr>
      <w:tr w:rsidR="004E4503" w:rsidRPr="00E93BC2" w:rsidTr="00A74C5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E4503" w:rsidRPr="00E93BC2" w:rsidRDefault="004E4503" w:rsidP="00E93BC2">
            <w:pPr>
              <w:spacing w:line="240" w:lineRule="auto"/>
              <w:rPr>
                <w:rFonts w:ascii="Times New Roman" w:hAnsi="Times New Roman" w:cs="Times New Roman"/>
                <w:color w:val="444444"/>
                <w:sz w:val="24"/>
                <w:szCs w:val="24"/>
              </w:rPr>
            </w:pPr>
            <w:r w:rsidRPr="00E93BC2">
              <w:rPr>
                <w:rFonts w:ascii="Times New Roman" w:hAnsi="Times New Roman" w:cs="Times New Roman"/>
                <w:color w:val="444444"/>
                <w:sz w:val="24"/>
                <w:szCs w:val="24"/>
              </w:rPr>
              <w:t>Hammond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E4503" w:rsidRPr="00E93BC2" w:rsidRDefault="004E4503" w:rsidP="00E93BC2">
            <w:pPr>
              <w:spacing w:line="240" w:lineRule="auto"/>
              <w:rPr>
                <w:rFonts w:ascii="Times New Roman" w:hAnsi="Times New Roman" w:cs="Times New Roman"/>
                <w:color w:val="444444"/>
                <w:sz w:val="24"/>
                <w:szCs w:val="24"/>
              </w:rPr>
            </w:pPr>
            <w:r w:rsidRPr="00E93BC2">
              <w:rPr>
                <w:rFonts w:ascii="Times New Roman" w:hAnsi="Times New Roman" w:cs="Times New Roman"/>
                <w:color w:val="444444"/>
                <w:sz w:val="24"/>
                <w:szCs w:val="24"/>
              </w:rPr>
              <w:t>14%</w:t>
            </w:r>
          </w:p>
        </w:tc>
      </w:tr>
      <w:tr w:rsidR="004E4503" w:rsidRPr="00E93BC2" w:rsidTr="00A74C5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E4503" w:rsidRPr="00E93BC2" w:rsidRDefault="004E4503" w:rsidP="00E93BC2">
            <w:pPr>
              <w:spacing w:line="240" w:lineRule="auto"/>
              <w:rPr>
                <w:rFonts w:ascii="Times New Roman" w:hAnsi="Times New Roman" w:cs="Times New Roman"/>
                <w:color w:val="444444"/>
                <w:sz w:val="24"/>
                <w:szCs w:val="24"/>
              </w:rPr>
            </w:pPr>
            <w:r w:rsidRPr="00E93BC2">
              <w:rPr>
                <w:rFonts w:ascii="Times New Roman" w:hAnsi="Times New Roman" w:cs="Times New Roman"/>
                <w:color w:val="444444"/>
                <w:sz w:val="24"/>
                <w:szCs w:val="24"/>
              </w:rPr>
              <w:t>Crawfordsville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E4503" w:rsidRPr="00E93BC2" w:rsidRDefault="004E4503" w:rsidP="00E93BC2">
            <w:pPr>
              <w:spacing w:line="240" w:lineRule="auto"/>
              <w:rPr>
                <w:rFonts w:ascii="Times New Roman" w:hAnsi="Times New Roman" w:cs="Times New Roman"/>
                <w:color w:val="444444"/>
                <w:sz w:val="24"/>
                <w:szCs w:val="24"/>
              </w:rPr>
            </w:pPr>
            <w:r w:rsidRPr="00E93BC2">
              <w:rPr>
                <w:rFonts w:ascii="Times New Roman" w:hAnsi="Times New Roman" w:cs="Times New Roman"/>
                <w:color w:val="444444"/>
                <w:sz w:val="24"/>
                <w:szCs w:val="24"/>
              </w:rPr>
              <w:t>22%</w:t>
            </w:r>
          </w:p>
        </w:tc>
      </w:tr>
      <w:tr w:rsidR="004E4503" w:rsidRPr="00E93BC2" w:rsidTr="00A74C5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E4503" w:rsidRPr="00E93BC2" w:rsidRDefault="004E4503" w:rsidP="00E93BC2">
            <w:pPr>
              <w:spacing w:line="240" w:lineRule="auto"/>
              <w:rPr>
                <w:rFonts w:ascii="Times New Roman" w:hAnsi="Times New Roman" w:cs="Times New Roman"/>
                <w:color w:val="444444"/>
                <w:sz w:val="24"/>
                <w:szCs w:val="24"/>
              </w:rPr>
            </w:pPr>
            <w:r w:rsidRPr="00E93BC2">
              <w:rPr>
                <w:rFonts w:ascii="Times New Roman" w:hAnsi="Times New Roman" w:cs="Times New Roman"/>
                <w:color w:val="444444"/>
                <w:sz w:val="24"/>
                <w:szCs w:val="24"/>
              </w:rPr>
              <w:t>Shelbyville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E4503" w:rsidRPr="00E93BC2" w:rsidRDefault="004E4503" w:rsidP="00E93BC2">
            <w:pPr>
              <w:spacing w:line="240" w:lineRule="auto"/>
              <w:rPr>
                <w:rFonts w:ascii="Times New Roman" w:hAnsi="Times New Roman" w:cs="Times New Roman"/>
                <w:color w:val="444444"/>
                <w:sz w:val="24"/>
                <w:szCs w:val="24"/>
              </w:rPr>
            </w:pPr>
            <w:r w:rsidRPr="00E93BC2">
              <w:rPr>
                <w:rFonts w:ascii="Times New Roman" w:hAnsi="Times New Roman" w:cs="Times New Roman"/>
                <w:color w:val="444444"/>
                <w:sz w:val="24"/>
                <w:szCs w:val="24"/>
              </w:rPr>
              <w:t>14%</w:t>
            </w:r>
          </w:p>
        </w:tc>
      </w:tr>
      <w:tr w:rsidR="004E4503" w:rsidRPr="00E93BC2" w:rsidTr="00A74C5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E4503" w:rsidRPr="00E93BC2" w:rsidRDefault="004E4503" w:rsidP="00E93BC2">
            <w:pPr>
              <w:spacing w:line="240" w:lineRule="auto"/>
              <w:rPr>
                <w:rFonts w:ascii="Times New Roman" w:hAnsi="Times New Roman" w:cs="Times New Roman"/>
                <w:color w:val="444444"/>
                <w:sz w:val="24"/>
                <w:szCs w:val="24"/>
              </w:rPr>
            </w:pPr>
            <w:r w:rsidRPr="00E93BC2">
              <w:rPr>
                <w:rFonts w:ascii="Times New Roman" w:hAnsi="Times New Roman" w:cs="Times New Roman"/>
                <w:color w:val="444444"/>
                <w:sz w:val="24"/>
                <w:szCs w:val="24"/>
              </w:rPr>
              <w:t>Lawrence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E4503" w:rsidRPr="00E93BC2" w:rsidRDefault="004E4503" w:rsidP="00E93BC2">
            <w:pPr>
              <w:spacing w:line="240" w:lineRule="auto"/>
              <w:rPr>
                <w:rFonts w:ascii="Times New Roman" w:hAnsi="Times New Roman" w:cs="Times New Roman"/>
                <w:color w:val="444444"/>
                <w:sz w:val="24"/>
                <w:szCs w:val="24"/>
              </w:rPr>
            </w:pPr>
            <w:r w:rsidRPr="00E93BC2">
              <w:rPr>
                <w:rFonts w:ascii="Times New Roman" w:hAnsi="Times New Roman" w:cs="Times New Roman"/>
                <w:color w:val="444444"/>
                <w:sz w:val="24"/>
                <w:szCs w:val="24"/>
              </w:rPr>
              <w:t>19%</w:t>
            </w:r>
          </w:p>
        </w:tc>
      </w:tr>
    </w:tbl>
    <w:p w:rsidR="004E4503" w:rsidRPr="00E93BC2" w:rsidRDefault="004E4503" w:rsidP="00E93BC2">
      <w:pPr>
        <w:pStyle w:val="NormalWeb"/>
        <w:shd w:val="clear" w:color="auto" w:fill="FFFFFF"/>
        <w:spacing w:before="120" w:beforeAutospacing="0" w:after="120" w:afterAutospacing="0"/>
        <w:rPr>
          <w:color w:val="444444"/>
        </w:rPr>
      </w:pPr>
      <w:r w:rsidRPr="00E93BC2">
        <w:rPr>
          <w:color w:val="444444"/>
        </w:rPr>
        <w:t> It would be easy to blame increased local spending as the main cause of the tax increases, but that’s not what happened. In Marion County a combination of four different factors caused the average homestead property tax bill to increase by 24% from 2006 to 2007:</w:t>
      </w:r>
    </w:p>
    <w:tbl>
      <w:tblPr>
        <w:tblW w:w="0" w:type="auto"/>
        <w:jc w:val="center"/>
        <w:shd w:val="clear" w:color="auto" w:fill="FFFFFF"/>
        <w:tblCellMar>
          <w:top w:w="75" w:type="dxa"/>
          <w:left w:w="75" w:type="dxa"/>
          <w:bottom w:w="75" w:type="dxa"/>
          <w:right w:w="75" w:type="dxa"/>
        </w:tblCellMar>
        <w:tblLook w:val="04A0" w:firstRow="1" w:lastRow="0" w:firstColumn="1" w:lastColumn="0" w:noHBand="0" w:noVBand="1"/>
      </w:tblPr>
      <w:tblGrid>
        <w:gridCol w:w="3748"/>
        <w:gridCol w:w="455"/>
      </w:tblGrid>
      <w:tr w:rsidR="004E4503" w:rsidRPr="00E93BC2" w:rsidTr="00A74C5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E4503" w:rsidRPr="00E93BC2" w:rsidRDefault="004E4503" w:rsidP="00E93BC2">
            <w:pPr>
              <w:spacing w:line="240" w:lineRule="auto"/>
              <w:rPr>
                <w:rFonts w:ascii="Times New Roman" w:hAnsi="Times New Roman" w:cs="Times New Roman"/>
                <w:color w:val="444444"/>
                <w:sz w:val="24"/>
                <w:szCs w:val="24"/>
              </w:rPr>
            </w:pPr>
            <w:r w:rsidRPr="00E93BC2">
              <w:rPr>
                <w:rFonts w:ascii="Times New Roman" w:hAnsi="Times New Roman" w:cs="Times New Roman"/>
                <w:color w:val="444444"/>
                <w:sz w:val="24"/>
                <w:szCs w:val="24"/>
              </w:rPr>
              <w:t> Elimination of Inventory Assessments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E4503" w:rsidRPr="00E93BC2" w:rsidRDefault="004E4503" w:rsidP="00E93BC2">
            <w:pPr>
              <w:spacing w:line="240" w:lineRule="auto"/>
              <w:rPr>
                <w:rFonts w:ascii="Times New Roman" w:hAnsi="Times New Roman" w:cs="Times New Roman"/>
                <w:color w:val="444444"/>
                <w:sz w:val="24"/>
                <w:szCs w:val="24"/>
              </w:rPr>
            </w:pPr>
            <w:r w:rsidRPr="00E93BC2">
              <w:rPr>
                <w:rFonts w:ascii="Times New Roman" w:hAnsi="Times New Roman" w:cs="Times New Roman"/>
                <w:color w:val="444444"/>
                <w:sz w:val="24"/>
                <w:szCs w:val="24"/>
              </w:rPr>
              <w:t>4%</w:t>
            </w:r>
          </w:p>
        </w:tc>
      </w:tr>
      <w:tr w:rsidR="004E4503" w:rsidRPr="00E93BC2" w:rsidTr="00A74C5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E4503" w:rsidRPr="00E93BC2" w:rsidRDefault="004E4503" w:rsidP="00E93BC2">
            <w:pPr>
              <w:spacing w:line="240" w:lineRule="auto"/>
              <w:rPr>
                <w:rFonts w:ascii="Times New Roman" w:hAnsi="Times New Roman" w:cs="Times New Roman"/>
                <w:color w:val="444444"/>
                <w:sz w:val="24"/>
                <w:szCs w:val="24"/>
              </w:rPr>
            </w:pPr>
            <w:r w:rsidRPr="00E93BC2">
              <w:rPr>
                <w:rFonts w:ascii="Times New Roman" w:hAnsi="Times New Roman" w:cs="Times New Roman"/>
                <w:color w:val="444444"/>
                <w:sz w:val="24"/>
                <w:szCs w:val="24"/>
              </w:rPr>
              <w:t>Cap on State Property Tax Relief</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E4503" w:rsidRPr="00E93BC2" w:rsidRDefault="004E4503" w:rsidP="00E93BC2">
            <w:pPr>
              <w:spacing w:line="240" w:lineRule="auto"/>
              <w:rPr>
                <w:rFonts w:ascii="Times New Roman" w:hAnsi="Times New Roman" w:cs="Times New Roman"/>
                <w:color w:val="444444"/>
                <w:sz w:val="24"/>
                <w:szCs w:val="24"/>
              </w:rPr>
            </w:pPr>
            <w:r w:rsidRPr="00E93BC2">
              <w:rPr>
                <w:rFonts w:ascii="Times New Roman" w:hAnsi="Times New Roman" w:cs="Times New Roman"/>
                <w:color w:val="444444"/>
                <w:sz w:val="24"/>
                <w:szCs w:val="24"/>
              </w:rPr>
              <w:t>4%</w:t>
            </w:r>
          </w:p>
        </w:tc>
      </w:tr>
      <w:tr w:rsidR="004E4503" w:rsidRPr="00E93BC2" w:rsidTr="00A74C5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E4503" w:rsidRPr="00E93BC2" w:rsidRDefault="004E4503" w:rsidP="00E93BC2">
            <w:pPr>
              <w:spacing w:line="240" w:lineRule="auto"/>
              <w:rPr>
                <w:rFonts w:ascii="Times New Roman" w:hAnsi="Times New Roman" w:cs="Times New Roman"/>
                <w:color w:val="444444"/>
                <w:sz w:val="24"/>
                <w:szCs w:val="24"/>
              </w:rPr>
            </w:pPr>
            <w:r w:rsidRPr="00E93BC2">
              <w:rPr>
                <w:rFonts w:ascii="Times New Roman" w:hAnsi="Times New Roman" w:cs="Times New Roman"/>
                <w:color w:val="444444"/>
                <w:sz w:val="24"/>
                <w:szCs w:val="24"/>
              </w:rPr>
              <w:t>General Reassessment &amp; Trending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E4503" w:rsidRPr="00E93BC2" w:rsidRDefault="004E4503" w:rsidP="00E93BC2">
            <w:pPr>
              <w:spacing w:line="240" w:lineRule="auto"/>
              <w:rPr>
                <w:rFonts w:ascii="Times New Roman" w:hAnsi="Times New Roman" w:cs="Times New Roman"/>
                <w:color w:val="444444"/>
                <w:sz w:val="24"/>
                <w:szCs w:val="24"/>
              </w:rPr>
            </w:pPr>
            <w:r w:rsidRPr="00E93BC2">
              <w:rPr>
                <w:rFonts w:ascii="Times New Roman" w:hAnsi="Times New Roman" w:cs="Times New Roman"/>
                <w:color w:val="444444"/>
                <w:sz w:val="24"/>
                <w:szCs w:val="24"/>
              </w:rPr>
              <w:t>10%</w:t>
            </w:r>
          </w:p>
        </w:tc>
      </w:tr>
      <w:tr w:rsidR="004E4503" w:rsidRPr="00E93BC2" w:rsidTr="00A74C5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E4503" w:rsidRPr="00E93BC2" w:rsidRDefault="004E4503" w:rsidP="00E93BC2">
            <w:pPr>
              <w:spacing w:line="240" w:lineRule="auto"/>
              <w:rPr>
                <w:rFonts w:ascii="Times New Roman" w:hAnsi="Times New Roman" w:cs="Times New Roman"/>
                <w:color w:val="444444"/>
                <w:sz w:val="24"/>
                <w:szCs w:val="24"/>
              </w:rPr>
            </w:pPr>
            <w:r w:rsidRPr="00E93BC2">
              <w:rPr>
                <w:rFonts w:ascii="Times New Roman" w:hAnsi="Times New Roman" w:cs="Times New Roman"/>
                <w:color w:val="444444"/>
                <w:sz w:val="24"/>
                <w:szCs w:val="24"/>
              </w:rPr>
              <w:t>Increase in Local Spending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E4503" w:rsidRPr="00E93BC2" w:rsidRDefault="004E4503" w:rsidP="00E93BC2">
            <w:pPr>
              <w:spacing w:line="240" w:lineRule="auto"/>
              <w:rPr>
                <w:rFonts w:ascii="Times New Roman" w:hAnsi="Times New Roman" w:cs="Times New Roman"/>
                <w:color w:val="444444"/>
                <w:sz w:val="24"/>
                <w:szCs w:val="24"/>
              </w:rPr>
            </w:pPr>
            <w:r w:rsidRPr="00E93BC2">
              <w:rPr>
                <w:rFonts w:ascii="Times New Roman" w:hAnsi="Times New Roman" w:cs="Times New Roman"/>
                <w:color w:val="444444"/>
                <w:sz w:val="24"/>
                <w:szCs w:val="24"/>
              </w:rPr>
              <w:t>6%</w:t>
            </w:r>
          </w:p>
        </w:tc>
      </w:tr>
    </w:tbl>
    <w:p w:rsidR="004E4503" w:rsidRPr="00E93BC2" w:rsidRDefault="004E4503" w:rsidP="00E93BC2">
      <w:pPr>
        <w:pStyle w:val="NormalWeb"/>
        <w:shd w:val="clear" w:color="auto" w:fill="FFFFFF"/>
        <w:spacing w:before="120" w:beforeAutospacing="0" w:after="120" w:afterAutospacing="0"/>
        <w:rPr>
          <w:color w:val="444444"/>
        </w:rPr>
      </w:pPr>
      <w:r w:rsidRPr="00E93BC2">
        <w:rPr>
          <w:color w:val="444444"/>
        </w:rPr>
        <w:t> In our next installment, we’ll summarize the changes that happened in the “blue” years on the chart from 2008 to 2014.</w:t>
      </w:r>
    </w:p>
    <w:p w:rsidR="004E4503" w:rsidRPr="00E93BC2" w:rsidRDefault="006A6CD1" w:rsidP="00E93BC2">
      <w:pPr>
        <w:spacing w:line="240" w:lineRule="auto"/>
        <w:rPr>
          <w:rFonts w:ascii="Times New Roman" w:hAnsi="Times New Roman" w:cs="Times New Roman"/>
          <w:sz w:val="24"/>
          <w:szCs w:val="24"/>
        </w:rPr>
      </w:pPr>
      <w:r w:rsidRPr="00E93BC2">
        <w:rPr>
          <w:rFonts w:ascii="Times New Roman" w:hAnsi="Times New Roman" w:cs="Times New Roman"/>
          <w:sz w:val="24"/>
          <w:szCs w:val="24"/>
        </w:rPr>
        <w:t>---</w:t>
      </w:r>
    </w:p>
    <w:p w:rsidR="00AC7A5F" w:rsidRDefault="00AC7A5F">
      <w:pPr>
        <w:rPr>
          <w:rFonts w:ascii="Times New Roman" w:eastAsia="Times New Roman" w:hAnsi="Times New Roman" w:cs="Times New Roman"/>
          <w:b/>
          <w:iCs/>
          <w:color w:val="0070C0"/>
          <w:sz w:val="24"/>
          <w:szCs w:val="24"/>
        </w:rPr>
      </w:pPr>
      <w:r>
        <w:rPr>
          <w:rFonts w:ascii="Times New Roman" w:eastAsia="Times New Roman" w:hAnsi="Times New Roman" w:cs="Times New Roman"/>
          <w:b/>
          <w:iCs/>
          <w:color w:val="0070C0"/>
          <w:sz w:val="24"/>
          <w:szCs w:val="24"/>
        </w:rPr>
        <w:br w:type="page"/>
      </w:r>
    </w:p>
    <w:p w:rsidR="006A6CD1" w:rsidRPr="006A6CD1" w:rsidRDefault="005011D6" w:rsidP="00E93BC2">
      <w:pPr>
        <w:shd w:val="clear" w:color="auto" w:fill="FFFFFF"/>
        <w:spacing w:before="120" w:after="120" w:line="240" w:lineRule="auto"/>
        <w:rPr>
          <w:rFonts w:ascii="Times New Roman" w:eastAsia="Times New Roman" w:hAnsi="Times New Roman" w:cs="Times New Roman"/>
          <w:b/>
          <w:color w:val="0070C0"/>
          <w:sz w:val="24"/>
          <w:szCs w:val="24"/>
        </w:rPr>
      </w:pPr>
      <w:r w:rsidRPr="00E93BC2">
        <w:rPr>
          <w:rFonts w:ascii="Times New Roman" w:eastAsia="Times New Roman" w:hAnsi="Times New Roman" w:cs="Times New Roman"/>
          <w:b/>
          <w:iCs/>
          <w:color w:val="0070C0"/>
          <w:sz w:val="24"/>
          <w:szCs w:val="24"/>
        </w:rPr>
        <w:lastRenderedPageBreak/>
        <w:t xml:space="preserve">Part 4: May 13, 2015: </w:t>
      </w:r>
      <w:r w:rsidR="006A6CD1" w:rsidRPr="006A6CD1">
        <w:rPr>
          <w:rFonts w:ascii="Times New Roman" w:eastAsia="Times New Roman" w:hAnsi="Times New Roman" w:cs="Times New Roman"/>
          <w:b/>
          <w:iCs/>
          <w:color w:val="0070C0"/>
          <w:sz w:val="24"/>
          <w:szCs w:val="24"/>
        </w:rPr>
        <w:t>How we got here</w:t>
      </w:r>
    </w:p>
    <w:p w:rsidR="006A6CD1" w:rsidRPr="006A6CD1" w:rsidRDefault="006A6CD1" w:rsidP="00E93BC2">
      <w:pPr>
        <w:shd w:val="clear" w:color="auto" w:fill="FFFFFF"/>
        <w:spacing w:after="0" w:line="240" w:lineRule="auto"/>
        <w:rPr>
          <w:rFonts w:ascii="Times New Roman" w:eastAsia="Times New Roman" w:hAnsi="Times New Roman" w:cs="Times New Roman"/>
          <w:color w:val="444444"/>
          <w:sz w:val="24"/>
          <w:szCs w:val="24"/>
        </w:rPr>
      </w:pPr>
      <w:r w:rsidRPr="006A6CD1">
        <w:rPr>
          <w:rFonts w:ascii="Times New Roman" w:eastAsia="Times New Roman" w:hAnsi="Times New Roman" w:cs="Times New Roman"/>
          <w:color w:val="444444"/>
          <w:sz w:val="24"/>
          <w:szCs w:val="24"/>
        </w:rPr>
        <w:t>Our last article explained the vast changes that affected Indiana property taxes during the transition to a market value assessment system from 2003 to 2007. (</w:t>
      </w:r>
      <w:hyperlink r:id="rId11" w:history="1">
        <w:r w:rsidRPr="00E93BC2">
          <w:rPr>
            <w:rFonts w:ascii="Times New Roman" w:eastAsia="Times New Roman" w:hAnsi="Times New Roman" w:cs="Times New Roman"/>
            <w:color w:val="999999"/>
            <w:sz w:val="24"/>
            <w:szCs w:val="24"/>
            <w:u w:val="single"/>
          </w:rPr>
          <w:t>Click here</w:t>
        </w:r>
      </w:hyperlink>
      <w:r w:rsidRPr="00E93BC2">
        <w:rPr>
          <w:rFonts w:ascii="Times New Roman" w:eastAsia="Times New Roman" w:hAnsi="Times New Roman" w:cs="Times New Roman"/>
          <w:color w:val="444444"/>
          <w:sz w:val="24"/>
          <w:szCs w:val="24"/>
        </w:rPr>
        <w:t> </w:t>
      </w:r>
      <w:r w:rsidRPr="006A6CD1">
        <w:rPr>
          <w:rFonts w:ascii="Times New Roman" w:eastAsia="Times New Roman" w:hAnsi="Times New Roman" w:cs="Times New Roman"/>
          <w:color w:val="444444"/>
          <w:sz w:val="24"/>
          <w:szCs w:val="24"/>
        </w:rPr>
        <w:t>to read the series to date.)</w:t>
      </w:r>
    </w:p>
    <w:p w:rsidR="006A6CD1" w:rsidRPr="006A6CD1" w:rsidRDefault="006A6CD1" w:rsidP="00E93BC2">
      <w:pPr>
        <w:shd w:val="clear" w:color="auto" w:fill="FFFFFF"/>
        <w:spacing w:before="120" w:after="120" w:line="240" w:lineRule="auto"/>
        <w:rPr>
          <w:rFonts w:ascii="Times New Roman" w:eastAsia="Times New Roman" w:hAnsi="Times New Roman" w:cs="Times New Roman"/>
          <w:color w:val="444444"/>
          <w:sz w:val="24"/>
          <w:szCs w:val="24"/>
        </w:rPr>
      </w:pPr>
      <w:r w:rsidRPr="006A6CD1">
        <w:rPr>
          <w:rFonts w:ascii="Times New Roman" w:eastAsia="Times New Roman" w:hAnsi="Times New Roman" w:cs="Times New Roman"/>
          <w:color w:val="444444"/>
          <w:sz w:val="24"/>
          <w:szCs w:val="24"/>
        </w:rPr>
        <w:t>This article will summarize the changes that happened in the “blue” years on the chart below from 2008 to 2014 as Indiana made various reforms to property taxes and introduced property tax caps.</w:t>
      </w:r>
    </w:p>
    <w:p w:rsidR="006A6CD1" w:rsidRPr="006A6CD1" w:rsidRDefault="006A6CD1" w:rsidP="00E93BC2">
      <w:pPr>
        <w:shd w:val="clear" w:color="auto" w:fill="FFFFFF"/>
        <w:spacing w:before="120" w:after="120" w:line="240" w:lineRule="auto"/>
        <w:rPr>
          <w:rFonts w:ascii="Times New Roman" w:eastAsia="Times New Roman" w:hAnsi="Times New Roman" w:cs="Times New Roman"/>
          <w:color w:val="444444"/>
          <w:sz w:val="24"/>
          <w:szCs w:val="24"/>
        </w:rPr>
      </w:pPr>
      <w:r w:rsidRPr="00E93BC2">
        <w:rPr>
          <w:rFonts w:ascii="Times New Roman" w:eastAsia="Times New Roman" w:hAnsi="Times New Roman" w:cs="Times New Roman"/>
          <w:noProof/>
          <w:color w:val="444444"/>
          <w:sz w:val="24"/>
          <w:szCs w:val="24"/>
        </w:rPr>
        <w:drawing>
          <wp:inline distT="0" distB="0" distL="0" distR="0">
            <wp:extent cx="6410325" cy="2257425"/>
            <wp:effectExtent l="0" t="0" r="9525" b="9525"/>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0325" cy="2257425"/>
                    </a:xfrm>
                    <a:prstGeom prst="rect">
                      <a:avLst/>
                    </a:prstGeom>
                    <a:noFill/>
                    <a:ln>
                      <a:noFill/>
                    </a:ln>
                  </pic:spPr>
                </pic:pic>
              </a:graphicData>
            </a:graphic>
          </wp:inline>
        </w:drawing>
      </w:r>
    </w:p>
    <w:p w:rsidR="006A6CD1" w:rsidRPr="006A6CD1" w:rsidRDefault="006A6CD1" w:rsidP="00E93BC2">
      <w:pPr>
        <w:numPr>
          <w:ilvl w:val="0"/>
          <w:numId w:val="2"/>
        </w:numPr>
        <w:shd w:val="clear" w:color="auto" w:fill="FFFFFF"/>
        <w:spacing w:after="0" w:line="240" w:lineRule="auto"/>
        <w:ind w:left="0"/>
        <w:rPr>
          <w:rFonts w:ascii="Times New Roman" w:eastAsia="Times New Roman" w:hAnsi="Times New Roman" w:cs="Times New Roman"/>
          <w:color w:val="444444"/>
          <w:sz w:val="24"/>
          <w:szCs w:val="24"/>
        </w:rPr>
      </w:pPr>
      <w:r w:rsidRPr="006A6CD1">
        <w:rPr>
          <w:rFonts w:ascii="Times New Roman" w:eastAsia="Times New Roman" w:hAnsi="Times New Roman" w:cs="Times New Roman"/>
          <w:color w:val="444444"/>
          <w:sz w:val="24"/>
          <w:szCs w:val="24"/>
        </w:rPr>
        <w:t>HEA 1001-2008 created the 1%, 2%, 3% circuit breaker credit and made other property tax changes described below. (2008)</w:t>
      </w:r>
    </w:p>
    <w:p w:rsidR="006A6CD1" w:rsidRPr="006A6CD1" w:rsidRDefault="006A6CD1" w:rsidP="00E93BC2">
      <w:pPr>
        <w:numPr>
          <w:ilvl w:val="0"/>
          <w:numId w:val="2"/>
        </w:numPr>
        <w:shd w:val="clear" w:color="auto" w:fill="FFFFFF"/>
        <w:spacing w:after="0" w:line="240" w:lineRule="auto"/>
        <w:ind w:left="0"/>
        <w:rPr>
          <w:rFonts w:ascii="Times New Roman" w:eastAsia="Times New Roman" w:hAnsi="Times New Roman" w:cs="Times New Roman"/>
          <w:color w:val="444444"/>
          <w:sz w:val="24"/>
          <w:szCs w:val="24"/>
        </w:rPr>
      </w:pPr>
      <w:r w:rsidRPr="006A6CD1">
        <w:rPr>
          <w:rFonts w:ascii="Times New Roman" w:eastAsia="Times New Roman" w:hAnsi="Times New Roman" w:cs="Times New Roman"/>
          <w:color w:val="444444"/>
          <w:sz w:val="24"/>
          <w:szCs w:val="24"/>
        </w:rPr>
        <w:t>Introduction of the Supplemental Standard Deduction in statute. (2008)</w:t>
      </w:r>
    </w:p>
    <w:p w:rsidR="006A6CD1" w:rsidRPr="006A6CD1" w:rsidRDefault="006A6CD1" w:rsidP="00E93BC2">
      <w:pPr>
        <w:numPr>
          <w:ilvl w:val="0"/>
          <w:numId w:val="2"/>
        </w:numPr>
        <w:shd w:val="clear" w:color="auto" w:fill="FFFFFF"/>
        <w:spacing w:after="0" w:line="240" w:lineRule="auto"/>
        <w:ind w:left="0"/>
        <w:rPr>
          <w:rFonts w:ascii="Times New Roman" w:eastAsia="Times New Roman" w:hAnsi="Times New Roman" w:cs="Times New Roman"/>
          <w:color w:val="444444"/>
          <w:sz w:val="24"/>
          <w:szCs w:val="24"/>
        </w:rPr>
      </w:pPr>
      <w:r w:rsidRPr="006A6CD1">
        <w:rPr>
          <w:rFonts w:ascii="Times New Roman" w:eastAsia="Times New Roman" w:hAnsi="Times New Roman" w:cs="Times New Roman"/>
          <w:color w:val="444444"/>
          <w:sz w:val="24"/>
          <w:szCs w:val="24"/>
        </w:rPr>
        <w:t>An additional one-year $620M, State-funded Homestead Credit was introduced to provide tax relief in 2008. (2008)</w:t>
      </w:r>
    </w:p>
    <w:p w:rsidR="006A6CD1" w:rsidRPr="006A6CD1" w:rsidRDefault="006A6CD1" w:rsidP="00E93BC2">
      <w:pPr>
        <w:numPr>
          <w:ilvl w:val="0"/>
          <w:numId w:val="2"/>
        </w:numPr>
        <w:shd w:val="clear" w:color="auto" w:fill="FFFFFF"/>
        <w:spacing w:after="0" w:line="240" w:lineRule="auto"/>
        <w:ind w:left="0"/>
        <w:rPr>
          <w:rFonts w:ascii="Times New Roman" w:eastAsia="Times New Roman" w:hAnsi="Times New Roman" w:cs="Times New Roman"/>
          <w:color w:val="444444"/>
          <w:sz w:val="24"/>
          <w:szCs w:val="24"/>
        </w:rPr>
      </w:pPr>
      <w:r w:rsidRPr="006A6CD1">
        <w:rPr>
          <w:rFonts w:ascii="Times New Roman" w:eastAsia="Times New Roman" w:hAnsi="Times New Roman" w:cs="Times New Roman"/>
          <w:color w:val="444444"/>
          <w:sz w:val="24"/>
          <w:szCs w:val="24"/>
        </w:rPr>
        <w:t>State assumes responsibility for funding school general fund and county welfare. (2009).</w:t>
      </w:r>
    </w:p>
    <w:p w:rsidR="006A6CD1" w:rsidRPr="006A6CD1" w:rsidRDefault="006A6CD1" w:rsidP="00E93BC2">
      <w:pPr>
        <w:numPr>
          <w:ilvl w:val="0"/>
          <w:numId w:val="2"/>
        </w:numPr>
        <w:shd w:val="clear" w:color="auto" w:fill="FFFFFF"/>
        <w:spacing w:after="0" w:line="240" w:lineRule="auto"/>
        <w:ind w:left="0"/>
        <w:rPr>
          <w:rFonts w:ascii="Times New Roman" w:eastAsia="Times New Roman" w:hAnsi="Times New Roman" w:cs="Times New Roman"/>
          <w:color w:val="444444"/>
          <w:sz w:val="24"/>
          <w:szCs w:val="24"/>
        </w:rPr>
      </w:pPr>
      <w:r w:rsidRPr="006A6CD1">
        <w:rPr>
          <w:rFonts w:ascii="Times New Roman" w:eastAsia="Times New Roman" w:hAnsi="Times New Roman" w:cs="Times New Roman"/>
          <w:color w:val="444444"/>
          <w:sz w:val="24"/>
          <w:szCs w:val="24"/>
        </w:rPr>
        <w:t>Circuit breaker credits are phased in, to be fully implemented in 2010. (2009)</w:t>
      </w:r>
    </w:p>
    <w:p w:rsidR="006A6CD1" w:rsidRPr="006A6CD1" w:rsidRDefault="006A6CD1" w:rsidP="00E93BC2">
      <w:pPr>
        <w:numPr>
          <w:ilvl w:val="0"/>
          <w:numId w:val="2"/>
        </w:numPr>
        <w:shd w:val="clear" w:color="auto" w:fill="FFFFFF"/>
        <w:spacing w:after="0" w:line="240" w:lineRule="auto"/>
        <w:ind w:left="0"/>
        <w:rPr>
          <w:rFonts w:ascii="Times New Roman" w:eastAsia="Times New Roman" w:hAnsi="Times New Roman" w:cs="Times New Roman"/>
          <w:color w:val="444444"/>
          <w:sz w:val="24"/>
          <w:szCs w:val="24"/>
        </w:rPr>
      </w:pPr>
      <w:r w:rsidRPr="006A6CD1">
        <w:rPr>
          <w:rFonts w:ascii="Times New Roman" w:eastAsia="Times New Roman" w:hAnsi="Times New Roman" w:cs="Times New Roman"/>
          <w:color w:val="444444"/>
          <w:sz w:val="24"/>
          <w:szCs w:val="24"/>
        </w:rPr>
        <w:t>Supplemental Standard Deduction results in a 14% reduction in the statewide property tax base. (2009)</w:t>
      </w:r>
    </w:p>
    <w:p w:rsidR="006A6CD1" w:rsidRPr="006A6CD1" w:rsidRDefault="006A6CD1" w:rsidP="00E93BC2">
      <w:pPr>
        <w:numPr>
          <w:ilvl w:val="0"/>
          <w:numId w:val="2"/>
        </w:numPr>
        <w:shd w:val="clear" w:color="auto" w:fill="FFFFFF"/>
        <w:spacing w:after="0" w:line="240" w:lineRule="auto"/>
        <w:ind w:left="0"/>
        <w:rPr>
          <w:rFonts w:ascii="Times New Roman" w:eastAsia="Times New Roman" w:hAnsi="Times New Roman" w:cs="Times New Roman"/>
          <w:color w:val="444444"/>
          <w:sz w:val="24"/>
          <w:szCs w:val="24"/>
        </w:rPr>
      </w:pPr>
      <w:r w:rsidRPr="006A6CD1">
        <w:rPr>
          <w:rFonts w:ascii="Times New Roman" w:eastAsia="Times New Roman" w:hAnsi="Times New Roman" w:cs="Times New Roman"/>
          <w:color w:val="444444"/>
          <w:sz w:val="24"/>
          <w:szCs w:val="24"/>
        </w:rPr>
        <w:t>Circuit Breaker caps are fully implemented at 1%, 2% and 3% of Gross AV. (2010)</w:t>
      </w:r>
    </w:p>
    <w:p w:rsidR="006A6CD1" w:rsidRPr="006A6CD1" w:rsidRDefault="006A6CD1" w:rsidP="00E93BC2">
      <w:pPr>
        <w:numPr>
          <w:ilvl w:val="0"/>
          <w:numId w:val="2"/>
        </w:numPr>
        <w:shd w:val="clear" w:color="auto" w:fill="FFFFFF"/>
        <w:spacing w:after="0" w:line="240" w:lineRule="auto"/>
        <w:ind w:left="0"/>
        <w:rPr>
          <w:rFonts w:ascii="Times New Roman" w:eastAsia="Times New Roman" w:hAnsi="Times New Roman" w:cs="Times New Roman"/>
          <w:color w:val="444444"/>
          <w:sz w:val="24"/>
          <w:szCs w:val="24"/>
        </w:rPr>
      </w:pPr>
      <w:r w:rsidRPr="006A6CD1">
        <w:rPr>
          <w:rFonts w:ascii="Times New Roman" w:eastAsia="Times New Roman" w:hAnsi="Times New Roman" w:cs="Times New Roman"/>
          <w:color w:val="444444"/>
          <w:sz w:val="24"/>
          <w:szCs w:val="24"/>
        </w:rPr>
        <w:t>Due to a general reassessment, taxes payable in 2013 reflected the effects of the 2007-2010 national recession. (2013)</w:t>
      </w:r>
    </w:p>
    <w:p w:rsidR="006A6CD1" w:rsidRPr="006A6CD1" w:rsidRDefault="006A6CD1" w:rsidP="00E93BC2">
      <w:pPr>
        <w:numPr>
          <w:ilvl w:val="0"/>
          <w:numId w:val="2"/>
        </w:numPr>
        <w:shd w:val="clear" w:color="auto" w:fill="FFFFFF"/>
        <w:spacing w:after="0" w:line="240" w:lineRule="auto"/>
        <w:ind w:left="0"/>
        <w:rPr>
          <w:rFonts w:ascii="Times New Roman" w:eastAsia="Times New Roman" w:hAnsi="Times New Roman" w:cs="Times New Roman"/>
          <w:color w:val="444444"/>
          <w:sz w:val="24"/>
          <w:szCs w:val="24"/>
        </w:rPr>
      </w:pPr>
      <w:r w:rsidRPr="006A6CD1">
        <w:rPr>
          <w:rFonts w:ascii="Times New Roman" w:eastAsia="Times New Roman" w:hAnsi="Times New Roman" w:cs="Times New Roman"/>
          <w:color w:val="444444"/>
          <w:sz w:val="24"/>
          <w:szCs w:val="24"/>
        </w:rPr>
        <w:t>The general reassessment and national recession also caused significant reductions in the value of commercial and industrial property. (2013)</w:t>
      </w:r>
    </w:p>
    <w:p w:rsidR="006A6CD1" w:rsidRPr="006A6CD1" w:rsidRDefault="006A6CD1" w:rsidP="00E93BC2">
      <w:pPr>
        <w:numPr>
          <w:ilvl w:val="0"/>
          <w:numId w:val="2"/>
        </w:numPr>
        <w:shd w:val="clear" w:color="auto" w:fill="FFFFFF"/>
        <w:spacing w:after="0" w:line="240" w:lineRule="auto"/>
        <w:ind w:left="0"/>
        <w:rPr>
          <w:rFonts w:ascii="Times New Roman" w:eastAsia="Times New Roman" w:hAnsi="Times New Roman" w:cs="Times New Roman"/>
          <w:color w:val="444444"/>
          <w:sz w:val="24"/>
          <w:szCs w:val="24"/>
        </w:rPr>
      </w:pPr>
      <w:r w:rsidRPr="006A6CD1">
        <w:rPr>
          <w:rFonts w:ascii="Times New Roman" w:eastAsia="Times New Roman" w:hAnsi="Times New Roman" w:cs="Times New Roman"/>
          <w:color w:val="444444"/>
          <w:sz w:val="24"/>
          <w:szCs w:val="24"/>
        </w:rPr>
        <w:t>Business Personal Property Tax legislation gives counties the option to exempt small returns (&lt;$20K) and to exempt new personal property beginning with taxes payable in 2017. (2014)</w:t>
      </w:r>
    </w:p>
    <w:p w:rsidR="006A6CD1" w:rsidRPr="006A6CD1" w:rsidRDefault="006A6CD1" w:rsidP="00E93BC2">
      <w:pPr>
        <w:numPr>
          <w:ilvl w:val="0"/>
          <w:numId w:val="2"/>
        </w:numPr>
        <w:shd w:val="clear" w:color="auto" w:fill="FFFFFF"/>
        <w:spacing w:after="0" w:line="240" w:lineRule="auto"/>
        <w:ind w:left="0"/>
        <w:rPr>
          <w:rFonts w:ascii="Times New Roman" w:eastAsia="Times New Roman" w:hAnsi="Times New Roman" w:cs="Times New Roman"/>
          <w:color w:val="444444"/>
          <w:sz w:val="24"/>
          <w:szCs w:val="24"/>
        </w:rPr>
      </w:pPr>
      <w:r w:rsidRPr="006A6CD1">
        <w:rPr>
          <w:rFonts w:ascii="Times New Roman" w:eastAsia="Times New Roman" w:hAnsi="Times New Roman" w:cs="Times New Roman"/>
          <w:color w:val="444444"/>
          <w:sz w:val="24"/>
          <w:szCs w:val="24"/>
        </w:rPr>
        <w:t>The same Business Personal Property Tax Legislation enhanced personal property abatement to 20 years. (2014)</w:t>
      </w:r>
    </w:p>
    <w:p w:rsidR="006A6CD1" w:rsidRPr="006A6CD1" w:rsidRDefault="006A6CD1" w:rsidP="00E93BC2">
      <w:pPr>
        <w:shd w:val="clear" w:color="auto" w:fill="FFFFFF"/>
        <w:spacing w:before="120" w:after="120" w:line="240" w:lineRule="auto"/>
        <w:rPr>
          <w:rFonts w:ascii="Times New Roman" w:eastAsia="Times New Roman" w:hAnsi="Times New Roman" w:cs="Times New Roman"/>
          <w:color w:val="444444"/>
          <w:sz w:val="24"/>
          <w:szCs w:val="24"/>
        </w:rPr>
      </w:pPr>
      <w:r w:rsidRPr="006A6CD1">
        <w:rPr>
          <w:rFonts w:ascii="Times New Roman" w:eastAsia="Times New Roman" w:hAnsi="Times New Roman" w:cs="Times New Roman"/>
          <w:color w:val="444444"/>
          <w:sz w:val="24"/>
          <w:szCs w:val="24"/>
        </w:rPr>
        <w:t>HEA 101 in 2008 did more than enact the tax caps; it significantly altered State funding of local units by eliminating the Property Tax Replacement Credit, phasing out the Homestead Credit and shifting the school general fund, county welfare, and public safety pension responsibilities to the State. It introduced the Supplemental Standard Deduction, increased Standard Deduction to 60% of Gross AV (up to $45K), increased the state sales tax rate and added a referendum requirement for large capital projects.</w:t>
      </w:r>
    </w:p>
    <w:p w:rsidR="006A6CD1" w:rsidRPr="006A6CD1" w:rsidRDefault="006A6CD1" w:rsidP="00E93BC2">
      <w:pPr>
        <w:shd w:val="clear" w:color="auto" w:fill="FFFFFF"/>
        <w:spacing w:before="120" w:after="120" w:line="240" w:lineRule="auto"/>
        <w:rPr>
          <w:rFonts w:ascii="Times New Roman" w:eastAsia="Times New Roman" w:hAnsi="Times New Roman" w:cs="Times New Roman"/>
          <w:color w:val="444444"/>
          <w:sz w:val="24"/>
          <w:szCs w:val="24"/>
        </w:rPr>
      </w:pPr>
      <w:r w:rsidRPr="006A6CD1">
        <w:rPr>
          <w:rFonts w:ascii="Times New Roman" w:eastAsia="Times New Roman" w:hAnsi="Times New Roman" w:cs="Times New Roman"/>
          <w:color w:val="444444"/>
          <w:sz w:val="24"/>
          <w:szCs w:val="24"/>
        </w:rPr>
        <w:t>Now that you have a basic understanding of how these changes in funding occurred, the next installment will begin to explain what the changes mean for local governments.</w:t>
      </w:r>
    </w:p>
    <w:p w:rsidR="0089273C" w:rsidRPr="00E93BC2" w:rsidRDefault="00571B04" w:rsidP="00E93BC2">
      <w:pPr>
        <w:spacing w:line="240" w:lineRule="auto"/>
        <w:rPr>
          <w:rFonts w:ascii="Times New Roman" w:hAnsi="Times New Roman" w:cs="Times New Roman"/>
          <w:sz w:val="24"/>
          <w:szCs w:val="24"/>
        </w:rPr>
      </w:pPr>
      <w:r w:rsidRPr="00E93BC2">
        <w:rPr>
          <w:rFonts w:ascii="Times New Roman" w:hAnsi="Times New Roman" w:cs="Times New Roman"/>
          <w:sz w:val="24"/>
          <w:szCs w:val="24"/>
        </w:rPr>
        <w:t>---</w:t>
      </w:r>
    </w:p>
    <w:p w:rsidR="00FF49FE" w:rsidRPr="00E93BC2" w:rsidRDefault="00FF49FE" w:rsidP="00E93BC2">
      <w:pPr>
        <w:spacing w:line="240" w:lineRule="auto"/>
        <w:rPr>
          <w:rFonts w:ascii="Times New Roman" w:eastAsia="Times New Roman" w:hAnsi="Times New Roman" w:cs="Times New Roman"/>
          <w:b/>
          <w:iCs/>
          <w:color w:val="0070C0"/>
          <w:sz w:val="24"/>
          <w:szCs w:val="24"/>
        </w:rPr>
      </w:pPr>
      <w:r w:rsidRPr="00E93BC2">
        <w:rPr>
          <w:rFonts w:ascii="Times New Roman" w:hAnsi="Times New Roman" w:cs="Times New Roman"/>
          <w:b/>
          <w:iCs/>
          <w:color w:val="0070C0"/>
          <w:sz w:val="24"/>
          <w:szCs w:val="24"/>
        </w:rPr>
        <w:br w:type="page"/>
      </w:r>
    </w:p>
    <w:p w:rsidR="0089273C" w:rsidRPr="00AC7A5F" w:rsidRDefault="00571B04" w:rsidP="00AC7A5F">
      <w:pPr>
        <w:rPr>
          <w:rFonts w:ascii="Times New Roman" w:hAnsi="Times New Roman" w:cs="Times New Roman"/>
          <w:b/>
          <w:color w:val="0070C0"/>
          <w:sz w:val="24"/>
          <w:szCs w:val="24"/>
        </w:rPr>
      </w:pPr>
      <w:r w:rsidRPr="00AC7A5F">
        <w:rPr>
          <w:rFonts w:ascii="Times New Roman" w:hAnsi="Times New Roman" w:cs="Times New Roman"/>
          <w:b/>
          <w:iCs/>
          <w:color w:val="0070C0"/>
          <w:sz w:val="24"/>
          <w:szCs w:val="24"/>
        </w:rPr>
        <w:lastRenderedPageBreak/>
        <w:t xml:space="preserve">Part 5: June 18, 2015: </w:t>
      </w:r>
      <w:r w:rsidR="0089273C" w:rsidRPr="00AC7A5F">
        <w:rPr>
          <w:rFonts w:ascii="Times New Roman" w:hAnsi="Times New Roman" w:cs="Times New Roman"/>
          <w:b/>
          <w:iCs/>
          <w:color w:val="0070C0"/>
          <w:sz w:val="24"/>
          <w:szCs w:val="24"/>
        </w:rPr>
        <w:t>What the changes mean for local governments</w:t>
      </w:r>
    </w:p>
    <w:p w:rsidR="0089273C" w:rsidRPr="00E93BC2" w:rsidRDefault="0089273C" w:rsidP="00E93BC2">
      <w:pPr>
        <w:pStyle w:val="NormalWeb"/>
        <w:shd w:val="clear" w:color="auto" w:fill="FFFFFF"/>
        <w:spacing w:before="0" w:beforeAutospacing="0" w:after="0" w:afterAutospacing="0"/>
        <w:rPr>
          <w:color w:val="444444"/>
        </w:rPr>
      </w:pPr>
      <w:r w:rsidRPr="00E93BC2">
        <w:rPr>
          <w:b/>
          <w:bCs/>
          <w:color w:val="444444"/>
        </w:rPr>
        <w:t>What does it mean for homeowners?</w:t>
      </w:r>
    </w:p>
    <w:p w:rsidR="0089273C" w:rsidRPr="00E93BC2" w:rsidRDefault="0089273C" w:rsidP="00E93BC2">
      <w:pPr>
        <w:pStyle w:val="NormalWeb"/>
        <w:shd w:val="clear" w:color="auto" w:fill="FFFFFF"/>
        <w:spacing w:before="120" w:beforeAutospacing="0" w:after="120" w:afterAutospacing="0"/>
        <w:rPr>
          <w:color w:val="444444"/>
        </w:rPr>
      </w:pPr>
      <w:r w:rsidRPr="00E93BC2">
        <w:rPr>
          <w:noProof/>
          <w:color w:val="444444"/>
        </w:rPr>
        <w:drawing>
          <wp:inline distT="0" distB="0" distL="0" distR="0">
            <wp:extent cx="5200650" cy="3609975"/>
            <wp:effectExtent l="0" t="0" r="0" b="9525"/>
            <wp:docPr id="8" name="Picture 8" descr="http://www.umbaugh.com/uploads/statewideLook-GaryMal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umbaugh.com/uploads/statewideLook-GaryMalon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0650" cy="3609975"/>
                    </a:xfrm>
                    <a:prstGeom prst="rect">
                      <a:avLst/>
                    </a:prstGeom>
                    <a:noFill/>
                    <a:ln>
                      <a:noFill/>
                    </a:ln>
                  </pic:spPr>
                </pic:pic>
              </a:graphicData>
            </a:graphic>
          </wp:inline>
        </w:drawing>
      </w:r>
      <w:bookmarkStart w:id="0" w:name="_GoBack"/>
      <w:bookmarkEnd w:id="0"/>
    </w:p>
    <w:p w:rsidR="0089273C" w:rsidRPr="00E93BC2" w:rsidRDefault="0089273C" w:rsidP="00E93BC2">
      <w:pPr>
        <w:pStyle w:val="NormalWeb"/>
        <w:shd w:val="clear" w:color="auto" w:fill="FFFFFF"/>
        <w:spacing w:before="120" w:beforeAutospacing="0" w:after="120" w:afterAutospacing="0"/>
        <w:rPr>
          <w:color w:val="444444"/>
        </w:rPr>
      </w:pPr>
      <w:r w:rsidRPr="00E93BC2">
        <w:rPr>
          <w:color w:val="444444"/>
        </w:rPr>
        <w:t>Homeowners, in general, pay less in property taxes than they did before – and that usually makes them happy. The amount of the reduction depends on where you live. This example from Elkhart County shows the level of property taxes in 2006, an upward spike with reassessment in 2007, a downward spike in 2008 due to the one-time Homestead Credit to provide property tax relief and a leveling out starting in 2010 when the property tax caps were fully implemented. If you were in the unincorporated part of Elkhart County, your property tax rates started and ended lower because you receive fewer services than city properties, but the tax amounts followed the same general pattern.</w:t>
      </w:r>
    </w:p>
    <w:p w:rsidR="0089273C" w:rsidRPr="00E93BC2" w:rsidRDefault="0089273C" w:rsidP="00F4428D">
      <w:pPr>
        <w:pStyle w:val="NormalWeb"/>
        <w:shd w:val="clear" w:color="auto" w:fill="FFFFFF"/>
        <w:spacing w:before="120" w:beforeAutospacing="0" w:after="120" w:afterAutospacing="0"/>
        <w:jc w:val="center"/>
        <w:rPr>
          <w:color w:val="444444"/>
        </w:rPr>
      </w:pPr>
      <w:r w:rsidRPr="00E93BC2">
        <w:rPr>
          <w:noProof/>
          <w:color w:val="444444"/>
        </w:rPr>
        <w:drawing>
          <wp:inline distT="0" distB="0" distL="0" distR="0">
            <wp:extent cx="4065810" cy="2867025"/>
            <wp:effectExtent l="0" t="0" r="0" b="0"/>
            <wp:docPr id="7" name="Picture 7" descr="http://www.umbaugh.com/uploads/statewideGaryMalo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umbaugh.com/uploads/statewideGaryMalone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9542" cy="2869657"/>
                    </a:xfrm>
                    <a:prstGeom prst="rect">
                      <a:avLst/>
                    </a:prstGeom>
                    <a:noFill/>
                    <a:ln>
                      <a:noFill/>
                    </a:ln>
                  </pic:spPr>
                </pic:pic>
              </a:graphicData>
            </a:graphic>
          </wp:inline>
        </w:drawing>
      </w:r>
    </w:p>
    <w:p w:rsidR="0089273C" w:rsidRPr="00E93BC2" w:rsidRDefault="0089273C" w:rsidP="00E93BC2">
      <w:pPr>
        <w:pStyle w:val="NormalWeb"/>
        <w:shd w:val="clear" w:color="auto" w:fill="FFFFFF"/>
        <w:spacing w:before="120" w:beforeAutospacing="0" w:after="120" w:afterAutospacing="0"/>
        <w:rPr>
          <w:color w:val="444444"/>
        </w:rPr>
      </w:pPr>
      <w:r w:rsidRPr="00E93BC2">
        <w:rPr>
          <w:color w:val="444444"/>
        </w:rPr>
        <w:lastRenderedPageBreak/>
        <w:t> </w:t>
      </w:r>
      <w:r w:rsidRPr="00E93BC2">
        <w:rPr>
          <w:b/>
          <w:bCs/>
          <w:color w:val="444444"/>
        </w:rPr>
        <w:t>What does it mean for rental properties and commercial taxpayers?</w:t>
      </w:r>
    </w:p>
    <w:p w:rsidR="0089273C" w:rsidRPr="00E93BC2" w:rsidRDefault="0089273C" w:rsidP="00E93BC2">
      <w:pPr>
        <w:pStyle w:val="NormalWeb"/>
        <w:shd w:val="clear" w:color="auto" w:fill="FFFFFF"/>
        <w:spacing w:before="120" w:beforeAutospacing="0" w:after="120" w:afterAutospacing="0"/>
        <w:rPr>
          <w:color w:val="444444"/>
        </w:rPr>
      </w:pPr>
      <w:r w:rsidRPr="00E93BC2">
        <w:rPr>
          <w:color w:val="444444"/>
        </w:rPr>
        <w:t>As you might expect, this chart shows that although both rental and commercial properties in Elkhart County pay less after the property tax caps were in place in 2010, the reduction for rental properties (2% cap) was greater than it was for commercial properties (3% cap).</w:t>
      </w:r>
      <w:r w:rsidRPr="00E93BC2">
        <w:rPr>
          <w:color w:val="444444"/>
        </w:rPr>
        <w:br/>
      </w:r>
      <w:r w:rsidRPr="00E93BC2">
        <w:rPr>
          <w:b/>
          <w:bCs/>
          <w:color w:val="444444"/>
        </w:rPr>
        <w:t>What does it mean for local governments?</w:t>
      </w:r>
    </w:p>
    <w:p w:rsidR="0089273C" w:rsidRPr="00E93BC2" w:rsidRDefault="0089273C" w:rsidP="00E93BC2">
      <w:pPr>
        <w:pStyle w:val="NormalWeb"/>
        <w:shd w:val="clear" w:color="auto" w:fill="FFFFFF"/>
        <w:spacing w:before="0" w:beforeAutospacing="0" w:after="0" w:afterAutospacing="0"/>
        <w:rPr>
          <w:color w:val="444444"/>
        </w:rPr>
      </w:pPr>
      <w:r w:rsidRPr="00E93BC2">
        <w:rPr>
          <w:color w:val="444444"/>
        </w:rPr>
        <w:t>While taxpayers are happy to pay less, the story for local governments is quite different.</w:t>
      </w:r>
      <w:r w:rsidRPr="00E93BC2">
        <w:rPr>
          <w:rStyle w:val="apple-converted-space"/>
          <w:color w:val="444444"/>
        </w:rPr>
        <w:t> </w:t>
      </w:r>
      <w:r w:rsidRPr="00E93BC2">
        <w:rPr>
          <w:b/>
          <w:bCs/>
          <w:color w:val="444444"/>
        </w:rPr>
        <w:t>The loss of revenue for local governments is $800 million – or 60% greater than the Legislative Services Agency projected</w:t>
      </w:r>
      <w:r w:rsidRPr="00E93BC2">
        <w:rPr>
          <w:rStyle w:val="apple-converted-space"/>
          <w:color w:val="444444"/>
        </w:rPr>
        <w:t> </w:t>
      </w:r>
      <w:r w:rsidRPr="00E93BC2">
        <w:rPr>
          <w:color w:val="444444"/>
        </w:rPr>
        <w:t>when the tax caps were enacted.</w:t>
      </w:r>
    </w:p>
    <w:p w:rsidR="0089273C" w:rsidRPr="00E93BC2" w:rsidRDefault="0089273C" w:rsidP="00E93BC2">
      <w:pPr>
        <w:pStyle w:val="NormalWeb"/>
        <w:shd w:val="clear" w:color="auto" w:fill="FFFFFF"/>
        <w:spacing w:before="120" w:beforeAutospacing="0" w:after="120" w:afterAutospacing="0"/>
        <w:rPr>
          <w:color w:val="444444"/>
        </w:rPr>
      </w:pPr>
      <w:r w:rsidRPr="00E93BC2">
        <w:rPr>
          <w:color w:val="444444"/>
        </w:rPr>
        <w:t>Indiana’s property tax caps are different from others in two important aspects:</w:t>
      </w:r>
    </w:p>
    <w:p w:rsidR="0089273C" w:rsidRPr="00E93BC2" w:rsidRDefault="0089273C" w:rsidP="00E93BC2">
      <w:pPr>
        <w:pStyle w:val="NormalWeb"/>
        <w:shd w:val="clear" w:color="auto" w:fill="FFFFFF"/>
        <w:spacing w:before="120" w:beforeAutospacing="0" w:after="120" w:afterAutospacing="0"/>
        <w:rPr>
          <w:color w:val="444444"/>
        </w:rPr>
      </w:pPr>
      <w:r w:rsidRPr="00E93BC2">
        <w:rPr>
          <w:color w:val="444444"/>
        </w:rPr>
        <w:t>1. Indiana’s circuit breaker tax caps limits the total tax rate and not the rates of individual taxing units (so all taxing units are now in a competition for their share of the total)</w:t>
      </w:r>
    </w:p>
    <w:p w:rsidR="0089273C" w:rsidRPr="00E93BC2" w:rsidRDefault="0089273C" w:rsidP="00E93BC2">
      <w:pPr>
        <w:pStyle w:val="NormalWeb"/>
        <w:shd w:val="clear" w:color="auto" w:fill="FFFFFF"/>
        <w:spacing w:before="120" w:beforeAutospacing="0" w:after="120" w:afterAutospacing="0"/>
        <w:rPr>
          <w:color w:val="444444"/>
        </w:rPr>
      </w:pPr>
      <w:r w:rsidRPr="00E93BC2">
        <w:rPr>
          <w:color w:val="444444"/>
        </w:rPr>
        <w:t>2. Revenue losses from the tax cap are not funded – other states that enacted tax caps also created a way to fund the loss.</w:t>
      </w:r>
    </w:p>
    <w:p w:rsidR="0089273C" w:rsidRPr="00E93BC2" w:rsidRDefault="0089273C" w:rsidP="00E93BC2">
      <w:pPr>
        <w:pStyle w:val="NormalWeb"/>
        <w:shd w:val="clear" w:color="auto" w:fill="FFFFFF"/>
        <w:spacing w:before="0" w:beforeAutospacing="0" w:after="0" w:afterAutospacing="0"/>
        <w:rPr>
          <w:color w:val="444444"/>
        </w:rPr>
      </w:pPr>
      <w:r w:rsidRPr="00E93BC2">
        <w:rPr>
          <w:b/>
          <w:bCs/>
          <w:color w:val="444444"/>
        </w:rPr>
        <w:t>Seventeen cents of every dollar levied in Indiana is not collected due to the tax caps.</w:t>
      </w:r>
    </w:p>
    <w:p w:rsidR="006A6CD1" w:rsidRPr="00E93BC2" w:rsidRDefault="006A6CD1" w:rsidP="00E93BC2">
      <w:pPr>
        <w:spacing w:line="240" w:lineRule="auto"/>
        <w:rPr>
          <w:rFonts w:ascii="Times New Roman" w:hAnsi="Times New Roman" w:cs="Times New Roman"/>
          <w:sz w:val="24"/>
          <w:szCs w:val="24"/>
        </w:rPr>
      </w:pPr>
    </w:p>
    <w:p w:rsidR="00EB01DF" w:rsidRPr="00E93BC2" w:rsidRDefault="00571B04" w:rsidP="00E93BC2">
      <w:pPr>
        <w:spacing w:line="240" w:lineRule="auto"/>
        <w:rPr>
          <w:rFonts w:ascii="Times New Roman" w:hAnsi="Times New Roman" w:cs="Times New Roman"/>
          <w:sz w:val="24"/>
          <w:szCs w:val="24"/>
        </w:rPr>
      </w:pPr>
      <w:r w:rsidRPr="00E93BC2">
        <w:rPr>
          <w:rFonts w:ascii="Times New Roman" w:hAnsi="Times New Roman" w:cs="Times New Roman"/>
          <w:sz w:val="24"/>
          <w:szCs w:val="24"/>
        </w:rPr>
        <w:t>---</w:t>
      </w:r>
    </w:p>
    <w:p w:rsidR="00AC7A5F" w:rsidRDefault="00AC7A5F">
      <w:pPr>
        <w:rPr>
          <w:rFonts w:ascii="Times New Roman" w:eastAsia="Times New Roman" w:hAnsi="Times New Roman" w:cs="Times New Roman"/>
          <w:b/>
          <w:iCs/>
          <w:color w:val="0070C0"/>
          <w:sz w:val="24"/>
          <w:szCs w:val="24"/>
        </w:rPr>
      </w:pPr>
      <w:r>
        <w:rPr>
          <w:b/>
          <w:iCs/>
          <w:color w:val="0070C0"/>
        </w:rPr>
        <w:br w:type="page"/>
      </w:r>
    </w:p>
    <w:p w:rsidR="00571B04" w:rsidRPr="00E93BC2" w:rsidRDefault="00EB01DF" w:rsidP="00E93BC2">
      <w:pPr>
        <w:pStyle w:val="NormalWeb"/>
        <w:shd w:val="clear" w:color="auto" w:fill="FFFFFF"/>
        <w:spacing w:before="0" w:beforeAutospacing="0" w:after="0" w:afterAutospacing="0"/>
        <w:rPr>
          <w:rStyle w:val="apple-converted-space"/>
          <w:b/>
          <w:color w:val="0070C0"/>
        </w:rPr>
      </w:pPr>
      <w:r w:rsidRPr="00E93BC2">
        <w:rPr>
          <w:b/>
          <w:iCs/>
          <w:color w:val="0070C0"/>
        </w:rPr>
        <w:lastRenderedPageBreak/>
        <w:t>Part 6</w:t>
      </w:r>
      <w:r w:rsidR="00571B04" w:rsidRPr="00E93BC2">
        <w:rPr>
          <w:b/>
          <w:iCs/>
          <w:color w:val="0070C0"/>
        </w:rPr>
        <w:t xml:space="preserve">: July 7, 2015: </w:t>
      </w:r>
      <w:r w:rsidRPr="00E93BC2">
        <w:rPr>
          <w:b/>
          <w:iCs/>
          <w:color w:val="0070C0"/>
        </w:rPr>
        <w:t>The effect on local governments</w:t>
      </w:r>
      <w:r w:rsidRPr="00E93BC2">
        <w:rPr>
          <w:rStyle w:val="apple-converted-space"/>
          <w:b/>
          <w:color w:val="0070C0"/>
        </w:rPr>
        <w:t> </w:t>
      </w:r>
    </w:p>
    <w:p w:rsidR="00EB01DF" w:rsidRPr="00E93BC2" w:rsidRDefault="00EB01DF" w:rsidP="00E93BC2">
      <w:pPr>
        <w:pStyle w:val="NormalWeb"/>
        <w:shd w:val="clear" w:color="auto" w:fill="FFFFFF"/>
        <w:spacing w:before="120" w:beforeAutospacing="0" w:after="120" w:afterAutospacing="0"/>
        <w:rPr>
          <w:color w:val="444444"/>
        </w:rPr>
      </w:pPr>
      <w:r w:rsidRPr="00E93BC2">
        <w:rPr>
          <w:color w:val="444444"/>
        </w:rPr>
        <w:t>It is a basic truth that property tax rates are higher in incorporated areas than they are in unincorporated areas. That’s because cities and towns provide more services, such as sewers, water, police and fire protection, parks, trash collection and snow removal.</w:t>
      </w:r>
    </w:p>
    <w:p w:rsidR="00EB01DF" w:rsidRPr="00E93BC2" w:rsidRDefault="00EB01DF" w:rsidP="00E93BC2">
      <w:pPr>
        <w:pStyle w:val="NormalWeb"/>
        <w:shd w:val="clear" w:color="auto" w:fill="FFFFFF"/>
        <w:spacing w:before="120" w:beforeAutospacing="0" w:after="120" w:afterAutospacing="0"/>
        <w:rPr>
          <w:color w:val="444444"/>
        </w:rPr>
      </w:pPr>
      <w:r w:rsidRPr="00E93BC2">
        <w:rPr>
          <w:color w:val="444444"/>
        </w:rPr>
        <w:t>Thus, the higher tax rates in incorporated areas are more likely to hit the property tax caps, providing relief to the taxpayer, but reducing income for services. If you are in an unincorporated area, you are much less likely to experience the benefit or the loss (depending on your perspective) of Indiana’s tax caps.</w:t>
      </w:r>
    </w:p>
    <w:p w:rsidR="00EB01DF" w:rsidRPr="00E93BC2" w:rsidRDefault="00EB01DF" w:rsidP="00E93BC2">
      <w:pPr>
        <w:pStyle w:val="NormalWeb"/>
        <w:shd w:val="clear" w:color="auto" w:fill="FFFFFF"/>
        <w:spacing w:before="120" w:beforeAutospacing="0" w:after="120" w:afterAutospacing="0"/>
        <w:rPr>
          <w:color w:val="444444"/>
        </w:rPr>
      </w:pPr>
      <w:r w:rsidRPr="00E93BC2">
        <w:rPr>
          <w:color w:val="444444"/>
        </w:rPr>
        <w:t>This chart for Tipton County shows that cities and towns have tax rates that will hit the tax cap. The incorporated parts of the townships are unaffected.</w:t>
      </w:r>
    </w:p>
    <w:p w:rsidR="00EB01DF" w:rsidRPr="00E93BC2" w:rsidRDefault="00EB01DF" w:rsidP="007326EC">
      <w:pPr>
        <w:pStyle w:val="NormalWeb"/>
        <w:shd w:val="clear" w:color="auto" w:fill="FFFFFF"/>
        <w:spacing w:before="120" w:beforeAutospacing="0" w:after="120" w:afterAutospacing="0"/>
        <w:jc w:val="center"/>
        <w:rPr>
          <w:color w:val="444444"/>
        </w:rPr>
      </w:pPr>
      <w:r w:rsidRPr="00E93BC2">
        <w:rPr>
          <w:noProof/>
          <w:color w:val="444444"/>
        </w:rPr>
        <w:drawing>
          <wp:inline distT="0" distB="0" distL="0" distR="0">
            <wp:extent cx="5501399" cy="3864957"/>
            <wp:effectExtent l="0" t="0" r="4445" b="2540"/>
            <wp:docPr id="11" name="Picture 11" descr="http://www.umbaugh.com/uploads/district-tax-ra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umbaugh.com/uploads/district-tax-rate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8331" cy="3883878"/>
                    </a:xfrm>
                    <a:prstGeom prst="rect">
                      <a:avLst/>
                    </a:prstGeom>
                    <a:noFill/>
                    <a:ln>
                      <a:noFill/>
                    </a:ln>
                  </pic:spPr>
                </pic:pic>
              </a:graphicData>
            </a:graphic>
          </wp:inline>
        </w:drawing>
      </w:r>
    </w:p>
    <w:p w:rsidR="00EB01DF" w:rsidRPr="00E93BC2" w:rsidRDefault="00EB01DF" w:rsidP="00E93BC2">
      <w:pPr>
        <w:pStyle w:val="NormalWeb"/>
        <w:shd w:val="clear" w:color="auto" w:fill="FFFFFF"/>
        <w:spacing w:before="0" w:beforeAutospacing="0" w:after="0" w:afterAutospacing="0"/>
        <w:rPr>
          <w:color w:val="444444"/>
        </w:rPr>
      </w:pPr>
      <w:r w:rsidRPr="00E93BC2">
        <w:rPr>
          <w:color w:val="444444"/>
        </w:rPr>
        <w:t>Here’s what the loss of certified levy looks like statewide: in general, the greatest losses in revenue are concentrated in cities.</w:t>
      </w:r>
      <w:r w:rsidRPr="00E93BC2">
        <w:rPr>
          <w:rStyle w:val="apple-converted-space"/>
          <w:color w:val="444444"/>
        </w:rPr>
        <w:t> </w:t>
      </w:r>
      <w:r w:rsidRPr="00E93BC2">
        <w:rPr>
          <w:b/>
          <w:bCs/>
          <w:color w:val="444444"/>
        </w:rPr>
        <w:t xml:space="preserve">The 25 municipalities with the highest tax cap impact have losses ranging from 25% to 50% of their levies; the average for these 25 municipalities grew to 30% by </w:t>
      </w:r>
      <w:proofErr w:type="gramStart"/>
      <w:r w:rsidRPr="00E93BC2">
        <w:rPr>
          <w:b/>
          <w:bCs/>
          <w:color w:val="444444"/>
        </w:rPr>
        <w:t>2013</w:t>
      </w:r>
      <w:r w:rsidRPr="00E93BC2">
        <w:rPr>
          <w:rStyle w:val="apple-converted-space"/>
          <w:b/>
          <w:bCs/>
          <w:color w:val="444444"/>
        </w:rPr>
        <w:t> </w:t>
      </w:r>
      <w:r w:rsidRPr="00E93BC2">
        <w:rPr>
          <w:color w:val="444444"/>
        </w:rPr>
        <w:t>.</w:t>
      </w:r>
      <w:proofErr w:type="gramEnd"/>
    </w:p>
    <w:p w:rsidR="00EB01DF" w:rsidRPr="00E93BC2" w:rsidRDefault="00EB01DF" w:rsidP="00A02715">
      <w:pPr>
        <w:pStyle w:val="NormalWeb"/>
        <w:shd w:val="clear" w:color="auto" w:fill="FFFFFF"/>
        <w:spacing w:before="120" w:beforeAutospacing="0" w:after="120" w:afterAutospacing="0"/>
        <w:jc w:val="center"/>
        <w:rPr>
          <w:color w:val="444444"/>
        </w:rPr>
      </w:pPr>
      <w:r w:rsidRPr="00E93BC2">
        <w:rPr>
          <w:noProof/>
          <w:color w:val="444444"/>
        </w:rPr>
        <w:lastRenderedPageBreak/>
        <w:drawing>
          <wp:inline distT="0" distB="0" distL="0" distR="0">
            <wp:extent cx="5628903" cy="3960455"/>
            <wp:effectExtent l="0" t="0" r="0" b="2540"/>
            <wp:docPr id="10" name="Picture 10" descr="http://www.umbaugh.com/uploads/percentage-of-certified-lev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umbaugh.com/uploads/percentage-of-certified-levy.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9681" cy="3968038"/>
                    </a:xfrm>
                    <a:prstGeom prst="rect">
                      <a:avLst/>
                    </a:prstGeom>
                    <a:noFill/>
                    <a:ln>
                      <a:noFill/>
                    </a:ln>
                  </pic:spPr>
                </pic:pic>
              </a:graphicData>
            </a:graphic>
          </wp:inline>
        </w:drawing>
      </w:r>
    </w:p>
    <w:p w:rsidR="00EB01DF" w:rsidRPr="00E93BC2" w:rsidRDefault="00830ECC" w:rsidP="004D3BAA">
      <w:pPr>
        <w:pStyle w:val="NormalWeb"/>
        <w:shd w:val="clear" w:color="auto" w:fill="FFFFFF"/>
        <w:spacing w:before="0" w:beforeAutospacing="0" w:after="0" w:afterAutospacing="0"/>
      </w:pPr>
      <w:r w:rsidRPr="00E93BC2">
        <w:rPr>
          <w:color w:val="444444"/>
        </w:rPr>
        <w:t xml:space="preserve"> </w:t>
      </w:r>
      <w:r w:rsidRPr="00E93BC2">
        <w:t>---</w:t>
      </w:r>
    </w:p>
    <w:p w:rsidR="00AC7A5F" w:rsidRDefault="00AC7A5F">
      <w:pPr>
        <w:rPr>
          <w:rFonts w:ascii="Times New Roman" w:eastAsia="Times New Roman" w:hAnsi="Times New Roman" w:cs="Times New Roman"/>
          <w:b/>
          <w:color w:val="0070C0"/>
          <w:sz w:val="24"/>
          <w:szCs w:val="24"/>
        </w:rPr>
      </w:pPr>
    </w:p>
    <w:p w:rsidR="00EB01DF" w:rsidRPr="00E93BC2" w:rsidRDefault="00830ECC" w:rsidP="00E93BC2">
      <w:pPr>
        <w:pStyle w:val="NormalWeb"/>
        <w:shd w:val="clear" w:color="auto" w:fill="FFFFFF"/>
        <w:spacing w:before="120" w:beforeAutospacing="0" w:after="120" w:afterAutospacing="0"/>
        <w:rPr>
          <w:b/>
          <w:color w:val="0070C0"/>
        </w:rPr>
      </w:pPr>
      <w:r w:rsidRPr="00E93BC2">
        <w:rPr>
          <w:b/>
          <w:color w:val="0070C0"/>
        </w:rPr>
        <w:t xml:space="preserve">Part 7: July 22, 2015: </w:t>
      </w:r>
      <w:r w:rsidR="00EB01DF" w:rsidRPr="00E93BC2">
        <w:rPr>
          <w:b/>
          <w:color w:val="0070C0"/>
        </w:rPr>
        <w:t>The effect on local governments</w:t>
      </w:r>
    </w:p>
    <w:p w:rsidR="00EB01DF" w:rsidRPr="00E93BC2" w:rsidRDefault="00EB01DF" w:rsidP="00E93BC2">
      <w:pPr>
        <w:pStyle w:val="NormalWeb"/>
        <w:shd w:val="clear" w:color="auto" w:fill="FFFFFF"/>
        <w:spacing w:before="0" w:beforeAutospacing="0" w:after="0" w:afterAutospacing="0"/>
        <w:rPr>
          <w:color w:val="444444"/>
        </w:rPr>
      </w:pPr>
      <w:r w:rsidRPr="00E93BC2">
        <w:rPr>
          <w:color w:val="444444"/>
        </w:rPr>
        <w:t>The amount of revenue a local government receives from property taxes is a function of the</w:t>
      </w:r>
      <w:r w:rsidRPr="00E93BC2">
        <w:rPr>
          <w:rStyle w:val="apple-converted-space"/>
          <w:color w:val="444444"/>
        </w:rPr>
        <w:t> </w:t>
      </w:r>
      <w:r w:rsidRPr="00E93BC2">
        <w:rPr>
          <w:rStyle w:val="Strong"/>
          <w:color w:val="444444"/>
        </w:rPr>
        <w:t>tax rate</w:t>
      </w:r>
      <w:r w:rsidRPr="00E93BC2">
        <w:rPr>
          <w:rStyle w:val="apple-converted-space"/>
          <w:color w:val="444444"/>
        </w:rPr>
        <w:t> </w:t>
      </w:r>
      <w:r w:rsidRPr="00E93BC2">
        <w:rPr>
          <w:color w:val="444444"/>
        </w:rPr>
        <w:t>and the</w:t>
      </w:r>
      <w:r w:rsidRPr="00E93BC2">
        <w:rPr>
          <w:rStyle w:val="apple-converted-space"/>
          <w:color w:val="444444"/>
        </w:rPr>
        <w:t> </w:t>
      </w:r>
      <w:r w:rsidRPr="00E93BC2">
        <w:rPr>
          <w:rStyle w:val="Strong"/>
          <w:color w:val="444444"/>
        </w:rPr>
        <w:t>assessed value</w:t>
      </w:r>
      <w:r w:rsidRPr="00E93BC2">
        <w:rPr>
          <w:rStyle w:val="apple-converted-space"/>
          <w:color w:val="444444"/>
        </w:rPr>
        <w:t> </w:t>
      </w:r>
      <w:r w:rsidRPr="00E93BC2">
        <w:rPr>
          <w:color w:val="444444"/>
        </w:rPr>
        <w:t>of the properties being taxed, with an adjustment for the impact of the</w:t>
      </w:r>
      <w:r w:rsidRPr="00E93BC2">
        <w:rPr>
          <w:rStyle w:val="apple-converted-space"/>
          <w:color w:val="444444"/>
        </w:rPr>
        <w:t> </w:t>
      </w:r>
      <w:r w:rsidRPr="00E93BC2">
        <w:rPr>
          <w:rStyle w:val="Strong"/>
          <w:color w:val="444444"/>
        </w:rPr>
        <w:t>property tax caps</w:t>
      </w:r>
      <w:r w:rsidRPr="00E93BC2">
        <w:rPr>
          <w:color w:val="444444"/>
        </w:rPr>
        <w:t>.</w:t>
      </w:r>
    </w:p>
    <w:p w:rsidR="00EB01DF" w:rsidRDefault="00EB01DF" w:rsidP="00E93BC2">
      <w:pPr>
        <w:pStyle w:val="NormalWeb"/>
        <w:shd w:val="clear" w:color="auto" w:fill="FFFFFF"/>
        <w:spacing w:before="120" w:beforeAutospacing="0" w:after="120" w:afterAutospacing="0"/>
        <w:rPr>
          <w:color w:val="444444"/>
        </w:rPr>
      </w:pPr>
      <w:r w:rsidRPr="00E93BC2">
        <w:rPr>
          <w:color w:val="444444"/>
        </w:rPr>
        <w:t>Indiana’s assessed values of real property were impacted by the national recession that began in 2009, causing values to stagnate, rather than grow as had been projected by the state. Most of the growth that did occur was in personal property and agricultural land, which is assessed using a productivity factor. </w:t>
      </w:r>
    </w:p>
    <w:tbl>
      <w:tblPr>
        <w:tblW w:w="9218" w:type="dxa"/>
        <w:jc w:val="center"/>
        <w:shd w:val="clear" w:color="auto" w:fill="FFFFFF"/>
        <w:tblCellMar>
          <w:top w:w="75" w:type="dxa"/>
          <w:left w:w="75" w:type="dxa"/>
          <w:bottom w:w="75" w:type="dxa"/>
          <w:right w:w="75" w:type="dxa"/>
        </w:tblCellMar>
        <w:tblLook w:val="04A0" w:firstRow="1" w:lastRow="0" w:firstColumn="1" w:lastColumn="0" w:noHBand="0" w:noVBand="1"/>
      </w:tblPr>
      <w:tblGrid>
        <w:gridCol w:w="4312"/>
        <w:gridCol w:w="2430"/>
        <w:gridCol w:w="2476"/>
      </w:tblGrid>
      <w:tr w:rsidR="00EB01DF" w:rsidRPr="00E93BC2" w:rsidTr="00A02715">
        <w:trPr>
          <w:tblHeader/>
          <w:jc w:val="center"/>
        </w:trPr>
        <w:tc>
          <w:tcPr>
            <w:tcW w:w="43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B01DF" w:rsidRPr="00E93BC2" w:rsidRDefault="00EB01DF" w:rsidP="00A02715">
            <w:pPr>
              <w:spacing w:line="240" w:lineRule="auto"/>
              <w:jc w:val="center"/>
              <w:rPr>
                <w:rFonts w:ascii="Times New Roman" w:hAnsi="Times New Roman" w:cs="Times New Roman"/>
                <w:b/>
                <w:bCs/>
                <w:color w:val="444444"/>
                <w:sz w:val="24"/>
                <w:szCs w:val="24"/>
              </w:rPr>
            </w:pPr>
            <w:r w:rsidRPr="00E93BC2">
              <w:rPr>
                <w:rFonts w:ascii="Times New Roman" w:hAnsi="Times New Roman" w:cs="Times New Roman"/>
                <w:b/>
                <w:bCs/>
                <w:color w:val="444444"/>
                <w:sz w:val="24"/>
                <w:szCs w:val="24"/>
              </w:rPr>
              <w:t> </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B01DF" w:rsidRPr="00E93BC2" w:rsidRDefault="00A02715" w:rsidP="00A02715">
            <w:pPr>
              <w:pStyle w:val="NormalWeb"/>
              <w:spacing w:before="120" w:beforeAutospacing="0" w:after="120" w:afterAutospacing="0"/>
              <w:jc w:val="center"/>
              <w:rPr>
                <w:b/>
                <w:bCs/>
                <w:color w:val="444444"/>
              </w:rPr>
            </w:pPr>
            <w:r>
              <w:rPr>
                <w:b/>
                <w:bCs/>
                <w:color w:val="444444"/>
              </w:rPr>
              <w:t xml:space="preserve">Increase </w:t>
            </w:r>
            <w:r w:rsidR="00EB01DF" w:rsidRPr="00E93BC2">
              <w:rPr>
                <w:b/>
                <w:bCs/>
                <w:color w:val="444444"/>
              </w:rPr>
              <w:t>2007-2014</w:t>
            </w:r>
          </w:p>
        </w:tc>
        <w:tc>
          <w:tcPr>
            <w:tcW w:w="24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B01DF" w:rsidRPr="00E93BC2" w:rsidRDefault="00EB01DF" w:rsidP="00A02715">
            <w:pPr>
              <w:pStyle w:val="NormalWeb"/>
              <w:spacing w:before="120" w:beforeAutospacing="0" w:after="120" w:afterAutospacing="0"/>
              <w:jc w:val="center"/>
              <w:rPr>
                <w:b/>
                <w:bCs/>
                <w:color w:val="444444"/>
              </w:rPr>
            </w:pPr>
            <w:r w:rsidRPr="00E93BC2">
              <w:rPr>
                <w:b/>
                <w:bCs/>
                <w:color w:val="444444"/>
              </w:rPr>
              <w:t>Avg. increase</w:t>
            </w:r>
            <w:r w:rsidR="00A02715">
              <w:rPr>
                <w:b/>
                <w:bCs/>
                <w:color w:val="444444"/>
              </w:rPr>
              <w:t xml:space="preserve"> </w:t>
            </w:r>
            <w:r w:rsidRPr="00E93BC2">
              <w:rPr>
                <w:b/>
                <w:bCs/>
                <w:color w:val="444444"/>
              </w:rPr>
              <w:t>per year</w:t>
            </w:r>
          </w:p>
        </w:tc>
      </w:tr>
      <w:tr w:rsidR="00EB01DF" w:rsidRPr="00E93BC2" w:rsidTr="00A02715">
        <w:trPr>
          <w:jc w:val="center"/>
        </w:trPr>
        <w:tc>
          <w:tcPr>
            <w:tcW w:w="4312" w:type="dxa"/>
            <w:tcBorders>
              <w:top w:val="outset" w:sz="6" w:space="0" w:color="auto"/>
              <w:left w:val="outset" w:sz="6" w:space="0" w:color="auto"/>
              <w:bottom w:val="outset" w:sz="6" w:space="0" w:color="auto"/>
              <w:right w:val="outset" w:sz="6" w:space="0" w:color="auto"/>
            </w:tcBorders>
            <w:shd w:val="clear" w:color="auto" w:fill="B6DDE8"/>
            <w:tcMar>
              <w:top w:w="0" w:type="dxa"/>
              <w:left w:w="0" w:type="dxa"/>
              <w:bottom w:w="0" w:type="dxa"/>
              <w:right w:w="0" w:type="dxa"/>
            </w:tcMar>
            <w:vAlign w:val="center"/>
            <w:hideMark/>
          </w:tcPr>
          <w:p w:rsidR="00EB01DF" w:rsidRPr="00E93BC2" w:rsidRDefault="00EB01DF" w:rsidP="00A02715">
            <w:pPr>
              <w:pStyle w:val="NormalWeb"/>
              <w:spacing w:before="120" w:beforeAutospacing="0" w:after="120" w:afterAutospacing="0"/>
              <w:rPr>
                <w:color w:val="444444"/>
              </w:rPr>
            </w:pPr>
            <w:r w:rsidRPr="00E93BC2">
              <w:rPr>
                <w:color w:val="444444"/>
              </w:rPr>
              <w:t>Gross Assessed Value(indexed to 2007)</w:t>
            </w:r>
          </w:p>
        </w:tc>
        <w:tc>
          <w:tcPr>
            <w:tcW w:w="2430" w:type="dxa"/>
            <w:tcBorders>
              <w:top w:val="outset" w:sz="6" w:space="0" w:color="auto"/>
              <w:left w:val="outset" w:sz="6" w:space="0" w:color="auto"/>
              <w:bottom w:val="outset" w:sz="6" w:space="0" w:color="auto"/>
              <w:right w:val="outset" w:sz="6" w:space="0" w:color="auto"/>
            </w:tcBorders>
            <w:shd w:val="clear" w:color="auto" w:fill="B6DDE8"/>
            <w:tcMar>
              <w:top w:w="0" w:type="dxa"/>
              <w:left w:w="0" w:type="dxa"/>
              <w:bottom w:w="0" w:type="dxa"/>
              <w:right w:w="0" w:type="dxa"/>
            </w:tcMar>
            <w:vAlign w:val="center"/>
            <w:hideMark/>
          </w:tcPr>
          <w:p w:rsidR="00EB01DF" w:rsidRPr="00E93BC2" w:rsidRDefault="00EB01DF" w:rsidP="00A02715">
            <w:pPr>
              <w:spacing w:line="240" w:lineRule="auto"/>
              <w:jc w:val="right"/>
              <w:rPr>
                <w:rFonts w:ascii="Times New Roman" w:hAnsi="Times New Roman" w:cs="Times New Roman"/>
                <w:color w:val="444444"/>
                <w:sz w:val="24"/>
                <w:szCs w:val="24"/>
              </w:rPr>
            </w:pPr>
            <w:r w:rsidRPr="00E93BC2">
              <w:rPr>
                <w:rFonts w:ascii="Times New Roman" w:hAnsi="Times New Roman" w:cs="Times New Roman"/>
                <w:color w:val="444444"/>
                <w:sz w:val="24"/>
                <w:szCs w:val="24"/>
              </w:rPr>
              <w:t>6.1%</w:t>
            </w:r>
          </w:p>
        </w:tc>
        <w:tc>
          <w:tcPr>
            <w:tcW w:w="2476" w:type="dxa"/>
            <w:tcBorders>
              <w:top w:val="outset" w:sz="6" w:space="0" w:color="auto"/>
              <w:left w:val="outset" w:sz="6" w:space="0" w:color="auto"/>
              <w:bottom w:val="outset" w:sz="6" w:space="0" w:color="auto"/>
              <w:right w:val="outset" w:sz="6" w:space="0" w:color="auto"/>
            </w:tcBorders>
            <w:shd w:val="clear" w:color="auto" w:fill="B6DDE8"/>
            <w:tcMar>
              <w:top w:w="0" w:type="dxa"/>
              <w:left w:w="0" w:type="dxa"/>
              <w:bottom w:w="0" w:type="dxa"/>
              <w:right w:w="0" w:type="dxa"/>
            </w:tcMar>
            <w:vAlign w:val="center"/>
            <w:hideMark/>
          </w:tcPr>
          <w:p w:rsidR="00EB01DF" w:rsidRPr="00E93BC2" w:rsidRDefault="00EB01DF" w:rsidP="00A02715">
            <w:pPr>
              <w:spacing w:line="240" w:lineRule="auto"/>
              <w:jc w:val="right"/>
              <w:rPr>
                <w:rFonts w:ascii="Times New Roman" w:hAnsi="Times New Roman" w:cs="Times New Roman"/>
                <w:color w:val="444444"/>
                <w:sz w:val="24"/>
                <w:szCs w:val="24"/>
              </w:rPr>
            </w:pPr>
            <w:r w:rsidRPr="00E93BC2">
              <w:rPr>
                <w:rFonts w:ascii="Times New Roman" w:hAnsi="Times New Roman" w:cs="Times New Roman"/>
                <w:color w:val="444444"/>
                <w:sz w:val="24"/>
                <w:szCs w:val="24"/>
              </w:rPr>
              <w:t>0.9%</w:t>
            </w:r>
          </w:p>
        </w:tc>
      </w:tr>
      <w:tr w:rsidR="00EB01DF" w:rsidRPr="00E93BC2" w:rsidTr="00A02715">
        <w:trPr>
          <w:jc w:val="center"/>
        </w:trPr>
        <w:tc>
          <w:tcPr>
            <w:tcW w:w="4312" w:type="dxa"/>
            <w:tcBorders>
              <w:top w:val="outset" w:sz="6" w:space="0" w:color="auto"/>
              <w:left w:val="outset" w:sz="6" w:space="0" w:color="auto"/>
              <w:bottom w:val="outset" w:sz="6" w:space="0" w:color="auto"/>
              <w:right w:val="outset" w:sz="6" w:space="0" w:color="auto"/>
            </w:tcBorders>
            <w:shd w:val="clear" w:color="auto" w:fill="D6E3BC"/>
            <w:tcMar>
              <w:top w:w="0" w:type="dxa"/>
              <w:left w:w="0" w:type="dxa"/>
              <w:bottom w:w="0" w:type="dxa"/>
              <w:right w:w="0" w:type="dxa"/>
            </w:tcMar>
            <w:vAlign w:val="center"/>
            <w:hideMark/>
          </w:tcPr>
          <w:p w:rsidR="00EB01DF" w:rsidRPr="00E93BC2" w:rsidRDefault="00EB01DF" w:rsidP="00A02715">
            <w:pPr>
              <w:spacing w:line="240" w:lineRule="auto"/>
              <w:rPr>
                <w:rFonts w:ascii="Times New Roman" w:hAnsi="Times New Roman" w:cs="Times New Roman"/>
                <w:color w:val="444444"/>
                <w:sz w:val="24"/>
                <w:szCs w:val="24"/>
              </w:rPr>
            </w:pPr>
            <w:r w:rsidRPr="00E93BC2">
              <w:rPr>
                <w:rFonts w:ascii="Times New Roman" w:hAnsi="Times New Roman" w:cs="Times New Roman"/>
                <w:color w:val="444444"/>
                <w:sz w:val="24"/>
                <w:szCs w:val="24"/>
              </w:rPr>
              <w:t>GAV personal property</w:t>
            </w:r>
          </w:p>
        </w:tc>
        <w:tc>
          <w:tcPr>
            <w:tcW w:w="2430" w:type="dxa"/>
            <w:tcBorders>
              <w:top w:val="outset" w:sz="6" w:space="0" w:color="auto"/>
              <w:left w:val="outset" w:sz="6" w:space="0" w:color="auto"/>
              <w:bottom w:val="outset" w:sz="6" w:space="0" w:color="auto"/>
              <w:right w:val="outset" w:sz="6" w:space="0" w:color="auto"/>
            </w:tcBorders>
            <w:shd w:val="clear" w:color="auto" w:fill="D6E3BC"/>
            <w:tcMar>
              <w:top w:w="0" w:type="dxa"/>
              <w:left w:w="0" w:type="dxa"/>
              <w:bottom w:w="0" w:type="dxa"/>
              <w:right w:w="0" w:type="dxa"/>
            </w:tcMar>
            <w:vAlign w:val="center"/>
            <w:hideMark/>
          </w:tcPr>
          <w:p w:rsidR="00EB01DF" w:rsidRPr="00E93BC2" w:rsidRDefault="00EB01DF" w:rsidP="00A02715">
            <w:pPr>
              <w:spacing w:line="240" w:lineRule="auto"/>
              <w:jc w:val="right"/>
              <w:rPr>
                <w:rFonts w:ascii="Times New Roman" w:hAnsi="Times New Roman" w:cs="Times New Roman"/>
                <w:color w:val="444444"/>
                <w:sz w:val="24"/>
                <w:szCs w:val="24"/>
              </w:rPr>
            </w:pPr>
            <w:r w:rsidRPr="00E93BC2">
              <w:rPr>
                <w:rFonts w:ascii="Times New Roman" w:hAnsi="Times New Roman" w:cs="Times New Roman"/>
                <w:color w:val="444444"/>
                <w:sz w:val="24"/>
                <w:szCs w:val="24"/>
              </w:rPr>
              <w:t>17.9%</w:t>
            </w:r>
          </w:p>
        </w:tc>
        <w:tc>
          <w:tcPr>
            <w:tcW w:w="2476" w:type="dxa"/>
            <w:tcBorders>
              <w:top w:val="outset" w:sz="6" w:space="0" w:color="auto"/>
              <w:left w:val="outset" w:sz="6" w:space="0" w:color="auto"/>
              <w:bottom w:val="outset" w:sz="6" w:space="0" w:color="auto"/>
              <w:right w:val="outset" w:sz="6" w:space="0" w:color="auto"/>
            </w:tcBorders>
            <w:shd w:val="clear" w:color="auto" w:fill="D6E3BC"/>
            <w:tcMar>
              <w:top w:w="0" w:type="dxa"/>
              <w:left w:w="0" w:type="dxa"/>
              <w:bottom w:w="0" w:type="dxa"/>
              <w:right w:w="0" w:type="dxa"/>
            </w:tcMar>
            <w:vAlign w:val="center"/>
            <w:hideMark/>
          </w:tcPr>
          <w:p w:rsidR="00EB01DF" w:rsidRPr="00E93BC2" w:rsidRDefault="00EB01DF" w:rsidP="00A02715">
            <w:pPr>
              <w:spacing w:line="240" w:lineRule="auto"/>
              <w:jc w:val="right"/>
              <w:rPr>
                <w:rFonts w:ascii="Times New Roman" w:hAnsi="Times New Roman" w:cs="Times New Roman"/>
                <w:color w:val="444444"/>
                <w:sz w:val="24"/>
                <w:szCs w:val="24"/>
              </w:rPr>
            </w:pPr>
            <w:r w:rsidRPr="00E93BC2">
              <w:rPr>
                <w:rFonts w:ascii="Times New Roman" w:hAnsi="Times New Roman" w:cs="Times New Roman"/>
                <w:color w:val="444444"/>
                <w:sz w:val="24"/>
                <w:szCs w:val="24"/>
              </w:rPr>
              <w:t>2.4%</w:t>
            </w:r>
          </w:p>
        </w:tc>
      </w:tr>
      <w:tr w:rsidR="00EB01DF" w:rsidRPr="00E93BC2" w:rsidTr="00A02715">
        <w:trPr>
          <w:jc w:val="center"/>
        </w:trPr>
        <w:tc>
          <w:tcPr>
            <w:tcW w:w="4312" w:type="dxa"/>
            <w:tcBorders>
              <w:top w:val="outset" w:sz="6" w:space="0" w:color="auto"/>
              <w:left w:val="outset" w:sz="6" w:space="0" w:color="auto"/>
              <w:bottom w:val="outset" w:sz="6" w:space="0" w:color="auto"/>
              <w:right w:val="outset" w:sz="6" w:space="0" w:color="auto"/>
            </w:tcBorders>
            <w:shd w:val="clear" w:color="auto" w:fill="D6E3BC"/>
            <w:tcMar>
              <w:top w:w="0" w:type="dxa"/>
              <w:left w:w="0" w:type="dxa"/>
              <w:bottom w:w="0" w:type="dxa"/>
              <w:right w:w="0" w:type="dxa"/>
            </w:tcMar>
            <w:vAlign w:val="center"/>
            <w:hideMark/>
          </w:tcPr>
          <w:p w:rsidR="00EB01DF" w:rsidRPr="00E93BC2" w:rsidRDefault="00EB01DF" w:rsidP="00A02715">
            <w:pPr>
              <w:pStyle w:val="NormalWeb"/>
              <w:spacing w:before="120" w:beforeAutospacing="0" w:after="120" w:afterAutospacing="0"/>
              <w:rPr>
                <w:color w:val="444444"/>
              </w:rPr>
            </w:pPr>
            <w:r w:rsidRPr="00E93BC2">
              <w:rPr>
                <w:color w:val="444444"/>
              </w:rPr>
              <w:t>GAV real property</w:t>
            </w:r>
          </w:p>
        </w:tc>
        <w:tc>
          <w:tcPr>
            <w:tcW w:w="2430" w:type="dxa"/>
            <w:tcBorders>
              <w:top w:val="outset" w:sz="6" w:space="0" w:color="auto"/>
              <w:left w:val="outset" w:sz="6" w:space="0" w:color="auto"/>
              <w:bottom w:val="outset" w:sz="6" w:space="0" w:color="auto"/>
              <w:right w:val="outset" w:sz="6" w:space="0" w:color="auto"/>
            </w:tcBorders>
            <w:shd w:val="clear" w:color="auto" w:fill="D6E3BC"/>
            <w:tcMar>
              <w:top w:w="0" w:type="dxa"/>
              <w:left w:w="0" w:type="dxa"/>
              <w:bottom w:w="0" w:type="dxa"/>
              <w:right w:w="0" w:type="dxa"/>
            </w:tcMar>
            <w:vAlign w:val="center"/>
            <w:hideMark/>
          </w:tcPr>
          <w:p w:rsidR="00EB01DF" w:rsidRPr="00E93BC2" w:rsidRDefault="00EB01DF" w:rsidP="00A02715">
            <w:pPr>
              <w:spacing w:line="240" w:lineRule="auto"/>
              <w:jc w:val="right"/>
              <w:rPr>
                <w:rFonts w:ascii="Times New Roman" w:hAnsi="Times New Roman" w:cs="Times New Roman"/>
                <w:color w:val="444444"/>
                <w:sz w:val="24"/>
                <w:szCs w:val="24"/>
              </w:rPr>
            </w:pPr>
            <w:r w:rsidRPr="00E93BC2">
              <w:rPr>
                <w:rFonts w:ascii="Times New Roman" w:hAnsi="Times New Roman" w:cs="Times New Roman"/>
                <w:color w:val="444444"/>
                <w:sz w:val="24"/>
                <w:szCs w:val="24"/>
              </w:rPr>
              <w:t>5.1%</w:t>
            </w:r>
          </w:p>
        </w:tc>
        <w:tc>
          <w:tcPr>
            <w:tcW w:w="2476" w:type="dxa"/>
            <w:tcBorders>
              <w:top w:val="outset" w:sz="6" w:space="0" w:color="auto"/>
              <w:left w:val="outset" w:sz="6" w:space="0" w:color="auto"/>
              <w:bottom w:val="outset" w:sz="6" w:space="0" w:color="auto"/>
              <w:right w:val="outset" w:sz="6" w:space="0" w:color="auto"/>
            </w:tcBorders>
            <w:shd w:val="clear" w:color="auto" w:fill="D6E3BC"/>
            <w:tcMar>
              <w:top w:w="0" w:type="dxa"/>
              <w:left w:w="0" w:type="dxa"/>
              <w:bottom w:w="0" w:type="dxa"/>
              <w:right w:w="0" w:type="dxa"/>
            </w:tcMar>
            <w:vAlign w:val="center"/>
            <w:hideMark/>
          </w:tcPr>
          <w:p w:rsidR="00EB01DF" w:rsidRPr="00E93BC2" w:rsidRDefault="00EB01DF" w:rsidP="00A02715">
            <w:pPr>
              <w:spacing w:line="240" w:lineRule="auto"/>
              <w:jc w:val="right"/>
              <w:rPr>
                <w:rFonts w:ascii="Times New Roman" w:hAnsi="Times New Roman" w:cs="Times New Roman"/>
                <w:color w:val="444444"/>
                <w:sz w:val="24"/>
                <w:szCs w:val="24"/>
              </w:rPr>
            </w:pPr>
            <w:r w:rsidRPr="00E93BC2">
              <w:rPr>
                <w:rFonts w:ascii="Times New Roman" w:hAnsi="Times New Roman" w:cs="Times New Roman"/>
                <w:color w:val="444444"/>
                <w:sz w:val="24"/>
                <w:szCs w:val="24"/>
              </w:rPr>
              <w:t>0.7%</w:t>
            </w:r>
          </w:p>
        </w:tc>
      </w:tr>
      <w:tr w:rsidR="00EB01DF" w:rsidRPr="00E93BC2" w:rsidTr="00A02715">
        <w:trPr>
          <w:jc w:val="center"/>
        </w:trPr>
        <w:tc>
          <w:tcPr>
            <w:tcW w:w="4312" w:type="dxa"/>
            <w:tcBorders>
              <w:top w:val="outset" w:sz="6" w:space="0" w:color="auto"/>
              <w:left w:val="outset" w:sz="6" w:space="0" w:color="auto"/>
              <w:bottom w:val="outset" w:sz="6" w:space="0" w:color="auto"/>
              <w:right w:val="outset" w:sz="6" w:space="0" w:color="auto"/>
            </w:tcBorders>
            <w:shd w:val="clear" w:color="auto" w:fill="D6E3BC"/>
            <w:tcMar>
              <w:top w:w="0" w:type="dxa"/>
              <w:left w:w="0" w:type="dxa"/>
              <w:bottom w:w="0" w:type="dxa"/>
              <w:right w:w="0" w:type="dxa"/>
            </w:tcMar>
            <w:vAlign w:val="center"/>
            <w:hideMark/>
          </w:tcPr>
          <w:p w:rsidR="00EB01DF" w:rsidRPr="00E93BC2" w:rsidRDefault="00EB01DF" w:rsidP="00A02715">
            <w:pPr>
              <w:pStyle w:val="NormalWeb"/>
              <w:spacing w:before="120" w:beforeAutospacing="0" w:after="120" w:afterAutospacing="0"/>
              <w:rPr>
                <w:color w:val="444444"/>
              </w:rPr>
            </w:pPr>
            <w:r w:rsidRPr="00E93BC2">
              <w:rPr>
                <w:color w:val="444444"/>
              </w:rPr>
              <w:t>GAV non-agricultural property</w:t>
            </w:r>
          </w:p>
        </w:tc>
        <w:tc>
          <w:tcPr>
            <w:tcW w:w="2430" w:type="dxa"/>
            <w:tcBorders>
              <w:top w:val="outset" w:sz="6" w:space="0" w:color="auto"/>
              <w:left w:val="outset" w:sz="6" w:space="0" w:color="auto"/>
              <w:bottom w:val="outset" w:sz="6" w:space="0" w:color="auto"/>
              <w:right w:val="outset" w:sz="6" w:space="0" w:color="auto"/>
            </w:tcBorders>
            <w:shd w:val="clear" w:color="auto" w:fill="D6E3BC"/>
            <w:tcMar>
              <w:top w:w="0" w:type="dxa"/>
              <w:left w:w="0" w:type="dxa"/>
              <w:bottom w:w="0" w:type="dxa"/>
              <w:right w:w="0" w:type="dxa"/>
            </w:tcMar>
            <w:vAlign w:val="center"/>
            <w:hideMark/>
          </w:tcPr>
          <w:p w:rsidR="00EB01DF" w:rsidRPr="00E93BC2" w:rsidRDefault="00EB01DF" w:rsidP="00A02715">
            <w:pPr>
              <w:spacing w:line="240" w:lineRule="auto"/>
              <w:jc w:val="right"/>
              <w:rPr>
                <w:rFonts w:ascii="Times New Roman" w:hAnsi="Times New Roman" w:cs="Times New Roman"/>
                <w:color w:val="444444"/>
                <w:sz w:val="24"/>
                <w:szCs w:val="24"/>
              </w:rPr>
            </w:pPr>
            <w:r w:rsidRPr="00E93BC2">
              <w:rPr>
                <w:rFonts w:ascii="Times New Roman" w:hAnsi="Times New Roman" w:cs="Times New Roman"/>
                <w:color w:val="444444"/>
                <w:sz w:val="24"/>
                <w:szCs w:val="24"/>
              </w:rPr>
              <w:t>2%</w:t>
            </w:r>
          </w:p>
        </w:tc>
        <w:tc>
          <w:tcPr>
            <w:tcW w:w="2476" w:type="dxa"/>
            <w:tcBorders>
              <w:top w:val="outset" w:sz="6" w:space="0" w:color="auto"/>
              <w:left w:val="outset" w:sz="6" w:space="0" w:color="auto"/>
              <w:bottom w:val="outset" w:sz="6" w:space="0" w:color="auto"/>
              <w:right w:val="outset" w:sz="6" w:space="0" w:color="auto"/>
            </w:tcBorders>
            <w:shd w:val="clear" w:color="auto" w:fill="D6E3BC"/>
            <w:tcMar>
              <w:top w:w="0" w:type="dxa"/>
              <w:left w:w="0" w:type="dxa"/>
              <w:bottom w:w="0" w:type="dxa"/>
              <w:right w:w="0" w:type="dxa"/>
            </w:tcMar>
            <w:vAlign w:val="center"/>
            <w:hideMark/>
          </w:tcPr>
          <w:p w:rsidR="00EB01DF" w:rsidRPr="00E93BC2" w:rsidRDefault="00EB01DF" w:rsidP="00A02715">
            <w:pPr>
              <w:spacing w:line="240" w:lineRule="auto"/>
              <w:jc w:val="right"/>
              <w:rPr>
                <w:rFonts w:ascii="Times New Roman" w:hAnsi="Times New Roman" w:cs="Times New Roman"/>
                <w:color w:val="444444"/>
                <w:sz w:val="24"/>
                <w:szCs w:val="24"/>
              </w:rPr>
            </w:pPr>
            <w:r w:rsidRPr="00E93BC2">
              <w:rPr>
                <w:rFonts w:ascii="Times New Roman" w:hAnsi="Times New Roman" w:cs="Times New Roman"/>
                <w:color w:val="444444"/>
                <w:sz w:val="24"/>
                <w:szCs w:val="24"/>
              </w:rPr>
              <w:t> </w:t>
            </w:r>
          </w:p>
        </w:tc>
      </w:tr>
    </w:tbl>
    <w:p w:rsidR="00EB01DF" w:rsidRPr="00E93BC2" w:rsidRDefault="00EB01DF" w:rsidP="00F4428D">
      <w:pPr>
        <w:pStyle w:val="NormalWeb"/>
        <w:shd w:val="clear" w:color="auto" w:fill="FFFFFF"/>
        <w:spacing w:before="120" w:beforeAutospacing="0" w:after="120" w:afterAutospacing="0"/>
        <w:rPr>
          <w:color w:val="444444"/>
        </w:rPr>
      </w:pPr>
      <w:r w:rsidRPr="00E93BC2">
        <w:rPr>
          <w:color w:val="444444"/>
        </w:rPr>
        <w:t> The chart below shows the impact of the change in gross assessed value statewide.  You’ll notice that the greatest losses in GAV align almost perfectly with the chart from our</w:t>
      </w:r>
      <w:r w:rsidRPr="00E93BC2">
        <w:rPr>
          <w:rStyle w:val="apple-converted-space"/>
          <w:color w:val="444444"/>
        </w:rPr>
        <w:t> </w:t>
      </w:r>
      <w:hyperlink r:id="rId16" w:history="1">
        <w:r w:rsidRPr="00E93BC2">
          <w:rPr>
            <w:rStyle w:val="Hyperlink"/>
            <w:color w:val="999999"/>
          </w:rPr>
          <w:t>last article</w:t>
        </w:r>
      </w:hyperlink>
      <w:r w:rsidRPr="00E93BC2">
        <w:rPr>
          <w:rStyle w:val="apple-converted-space"/>
          <w:color w:val="444444"/>
        </w:rPr>
        <w:t> </w:t>
      </w:r>
      <w:r w:rsidRPr="00E93BC2">
        <w:rPr>
          <w:color w:val="444444"/>
        </w:rPr>
        <w:t>showing that the losses in revenue concentrated in cities.</w:t>
      </w:r>
    </w:p>
    <w:p w:rsidR="00EB01DF" w:rsidRPr="00E93BC2" w:rsidRDefault="00EB01DF" w:rsidP="004D3BAA">
      <w:pPr>
        <w:pStyle w:val="NormalWeb"/>
        <w:shd w:val="clear" w:color="auto" w:fill="FFFFFF"/>
        <w:spacing w:before="120" w:beforeAutospacing="0" w:after="120" w:afterAutospacing="0"/>
        <w:jc w:val="center"/>
        <w:rPr>
          <w:color w:val="444444"/>
        </w:rPr>
      </w:pPr>
      <w:r w:rsidRPr="00E93BC2">
        <w:rPr>
          <w:noProof/>
          <w:color w:val="444444"/>
        </w:rPr>
        <w:lastRenderedPageBreak/>
        <w:drawing>
          <wp:inline distT="0" distB="0" distL="0" distR="0">
            <wp:extent cx="5702300" cy="4003561"/>
            <wp:effectExtent l="0" t="0" r="0" b="0"/>
            <wp:docPr id="14" name="Picture 14" descr="http://www.umbaugh.com/uploads/iact_pt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umbaugh.com/uploads/iact_pt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8838" cy="4008152"/>
                    </a:xfrm>
                    <a:prstGeom prst="rect">
                      <a:avLst/>
                    </a:prstGeom>
                    <a:noFill/>
                    <a:ln>
                      <a:noFill/>
                    </a:ln>
                  </pic:spPr>
                </pic:pic>
              </a:graphicData>
            </a:graphic>
          </wp:inline>
        </w:drawing>
      </w:r>
    </w:p>
    <w:p w:rsidR="00EB01DF" w:rsidRPr="00E93BC2" w:rsidRDefault="00EB01DF" w:rsidP="00E93BC2">
      <w:pPr>
        <w:pStyle w:val="NormalWeb"/>
        <w:shd w:val="clear" w:color="auto" w:fill="FFFFFF"/>
        <w:spacing w:before="120" w:beforeAutospacing="0" w:after="120" w:afterAutospacing="0"/>
        <w:rPr>
          <w:color w:val="444444"/>
        </w:rPr>
      </w:pPr>
      <w:r w:rsidRPr="00E93BC2">
        <w:rPr>
          <w:color w:val="444444"/>
        </w:rPr>
        <w:t> </w:t>
      </w:r>
    </w:p>
    <w:p w:rsidR="00EB01DF" w:rsidRPr="00E93BC2" w:rsidRDefault="00EB01DF" w:rsidP="004D3BAA">
      <w:pPr>
        <w:pStyle w:val="NormalWeb"/>
        <w:shd w:val="clear" w:color="auto" w:fill="FFFFFF"/>
        <w:spacing w:before="120" w:beforeAutospacing="0" w:after="120" w:afterAutospacing="0"/>
        <w:jc w:val="center"/>
        <w:rPr>
          <w:color w:val="444444"/>
        </w:rPr>
      </w:pPr>
      <w:r w:rsidRPr="00E93BC2">
        <w:rPr>
          <w:noProof/>
          <w:color w:val="444444"/>
        </w:rPr>
        <w:drawing>
          <wp:inline distT="0" distB="0" distL="0" distR="0">
            <wp:extent cx="4762500" cy="3352800"/>
            <wp:effectExtent l="19050" t="19050" r="19050" b="19050"/>
            <wp:docPr id="13" name="Picture 13" descr="http://www.umbaugh.com/uploads/iact_pt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umbaugh.com/uploads/iact_pt7b.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0" cy="3352800"/>
                    </a:xfrm>
                    <a:prstGeom prst="rect">
                      <a:avLst/>
                    </a:prstGeom>
                    <a:noFill/>
                    <a:ln>
                      <a:solidFill>
                        <a:schemeClr val="tx1"/>
                      </a:solidFill>
                    </a:ln>
                  </pic:spPr>
                </pic:pic>
              </a:graphicData>
            </a:graphic>
          </wp:inline>
        </w:drawing>
      </w:r>
    </w:p>
    <w:p w:rsidR="00EB01DF" w:rsidRPr="00E93BC2" w:rsidRDefault="00EB01DF" w:rsidP="00F4428D">
      <w:pPr>
        <w:pStyle w:val="NormalWeb"/>
        <w:shd w:val="clear" w:color="auto" w:fill="FFFFFF"/>
        <w:spacing w:before="120" w:beforeAutospacing="0" w:after="120" w:afterAutospacing="0"/>
        <w:rPr>
          <w:color w:val="444444"/>
        </w:rPr>
      </w:pPr>
      <w:r w:rsidRPr="00E93BC2">
        <w:rPr>
          <w:color w:val="444444"/>
        </w:rPr>
        <w:t> Although it is true that the majority of Indiana’s counties saw growth in gross assessed value, those counties are home to just 35% of Indiana’s population.</w:t>
      </w:r>
      <w:r w:rsidR="00AC7A5F">
        <w:rPr>
          <w:color w:val="444444"/>
        </w:rPr>
        <w:t xml:space="preserve"> </w:t>
      </w:r>
      <w:r w:rsidRPr="00E93BC2">
        <w:rPr>
          <w:rStyle w:val="Strong"/>
          <w:color w:val="444444"/>
        </w:rPr>
        <w:t>The counties where 65% of our population lives experienced a decrease in GAV</w:t>
      </w:r>
      <w:r w:rsidRPr="00E93BC2">
        <w:rPr>
          <w:color w:val="444444"/>
        </w:rPr>
        <w:t>, which affects their ability to generate revenue.</w:t>
      </w:r>
    </w:p>
    <w:p w:rsidR="00350F3A" w:rsidRPr="00E93BC2" w:rsidRDefault="005962D8" w:rsidP="00E93BC2">
      <w:pPr>
        <w:spacing w:line="240" w:lineRule="auto"/>
        <w:rPr>
          <w:rFonts w:ascii="Times New Roman" w:hAnsi="Times New Roman" w:cs="Times New Roman"/>
          <w:sz w:val="24"/>
          <w:szCs w:val="24"/>
        </w:rPr>
      </w:pPr>
      <w:r w:rsidRPr="00E93BC2">
        <w:rPr>
          <w:rFonts w:ascii="Times New Roman" w:hAnsi="Times New Roman" w:cs="Times New Roman"/>
          <w:sz w:val="24"/>
          <w:szCs w:val="24"/>
        </w:rPr>
        <w:t>---</w:t>
      </w:r>
    </w:p>
    <w:p w:rsidR="00350F3A" w:rsidRPr="00AC7A5F" w:rsidRDefault="00AC7A5F" w:rsidP="0009719B">
      <w:pPr>
        <w:rPr>
          <w:rFonts w:ascii="Times New Roman" w:hAnsi="Times New Roman" w:cs="Times New Roman"/>
          <w:b/>
          <w:color w:val="0070C0"/>
          <w:sz w:val="24"/>
          <w:szCs w:val="24"/>
        </w:rPr>
      </w:pPr>
      <w:r>
        <w:rPr>
          <w:rFonts w:ascii="Times New Roman" w:hAnsi="Times New Roman" w:cs="Times New Roman"/>
          <w:b/>
          <w:color w:val="0070C0"/>
          <w:sz w:val="24"/>
          <w:szCs w:val="24"/>
        </w:rPr>
        <w:br w:type="page"/>
      </w:r>
      <w:r w:rsidR="005962D8" w:rsidRPr="00E93BC2">
        <w:rPr>
          <w:rFonts w:ascii="Times New Roman" w:hAnsi="Times New Roman" w:cs="Times New Roman"/>
          <w:b/>
          <w:color w:val="0070C0"/>
          <w:sz w:val="24"/>
          <w:szCs w:val="24"/>
        </w:rPr>
        <w:lastRenderedPageBreak/>
        <w:t xml:space="preserve">Part 8: August 18, 2015: </w:t>
      </w:r>
      <w:r w:rsidR="00350F3A" w:rsidRPr="00E93BC2">
        <w:rPr>
          <w:rFonts w:ascii="Times New Roman" w:hAnsi="Times New Roman" w:cs="Times New Roman"/>
          <w:b/>
          <w:color w:val="0070C0"/>
          <w:sz w:val="24"/>
          <w:szCs w:val="24"/>
        </w:rPr>
        <w:t>The effect on local governments</w:t>
      </w:r>
    </w:p>
    <w:p w:rsidR="00350F3A" w:rsidRPr="00E93BC2" w:rsidRDefault="00350F3A" w:rsidP="00E93BC2">
      <w:pPr>
        <w:pStyle w:val="NormalWeb"/>
        <w:shd w:val="clear" w:color="auto" w:fill="FFFFFF"/>
        <w:spacing w:before="120" w:beforeAutospacing="0" w:after="120" w:afterAutospacing="0"/>
        <w:rPr>
          <w:color w:val="444444"/>
        </w:rPr>
      </w:pPr>
      <w:r w:rsidRPr="00E93BC2">
        <w:rPr>
          <w:color w:val="444444"/>
        </w:rPr>
        <w:t>When the tax rate in your area is above the property tax caps, local governments reach a point where levying more in your tax rate doesn’t result in collecting the full amount of the tax increase. The additional revenue to fund the levy increase either has to come from:</w:t>
      </w:r>
    </w:p>
    <w:p w:rsidR="00350F3A" w:rsidRPr="00E93BC2" w:rsidRDefault="00350F3A" w:rsidP="00AC7A5F">
      <w:pPr>
        <w:pStyle w:val="NormalWeb"/>
        <w:shd w:val="clear" w:color="auto" w:fill="FFFFFF"/>
        <w:spacing w:before="0" w:beforeAutospacing="0" w:after="0" w:afterAutospacing="0"/>
        <w:ind w:left="720"/>
        <w:rPr>
          <w:color w:val="444444"/>
        </w:rPr>
      </w:pPr>
      <w:r w:rsidRPr="00E93BC2">
        <w:rPr>
          <w:color w:val="444444"/>
        </w:rPr>
        <w:t xml:space="preserve">• </w:t>
      </w:r>
      <w:proofErr w:type="gramStart"/>
      <w:r w:rsidRPr="00E93BC2">
        <w:rPr>
          <w:color w:val="444444"/>
        </w:rPr>
        <w:t>taxpayers</w:t>
      </w:r>
      <w:proofErr w:type="gramEnd"/>
      <w:r w:rsidRPr="00E93BC2">
        <w:rPr>
          <w:color w:val="444444"/>
        </w:rPr>
        <w:t xml:space="preserve"> still below the tax cap or</w:t>
      </w:r>
      <w:r w:rsidRPr="00E93BC2">
        <w:rPr>
          <w:color w:val="444444"/>
        </w:rPr>
        <w:br/>
        <w:t>• other units of government.</w:t>
      </w:r>
    </w:p>
    <w:p w:rsidR="00350F3A" w:rsidRPr="00E93BC2" w:rsidRDefault="00350F3A" w:rsidP="00E93BC2">
      <w:pPr>
        <w:pStyle w:val="NormalWeb"/>
        <w:shd w:val="clear" w:color="auto" w:fill="FFFFFF"/>
        <w:spacing w:before="120" w:beforeAutospacing="0" w:after="120" w:afterAutospacing="0"/>
        <w:rPr>
          <w:color w:val="444444"/>
        </w:rPr>
      </w:pPr>
      <w:r w:rsidRPr="00E93BC2">
        <w:rPr>
          <w:color w:val="444444"/>
        </w:rPr>
        <w:t>Let’s use the example of a coffee shop with an assessed value of $100,000. The municipality’s total tax rate is $3.35. The coffee shop, which as a commercial property at the 3% tax cap, pays a maximum of $3,000 a year in property taxes.</w:t>
      </w:r>
    </w:p>
    <w:p w:rsidR="00350F3A" w:rsidRDefault="00350F3A" w:rsidP="00E93BC2">
      <w:pPr>
        <w:pStyle w:val="NormalWeb"/>
        <w:shd w:val="clear" w:color="auto" w:fill="FFFFFF"/>
        <w:spacing w:before="120" w:beforeAutospacing="0" w:after="120" w:afterAutospacing="0"/>
        <w:rPr>
          <w:color w:val="444444"/>
        </w:rPr>
      </w:pPr>
      <w:r w:rsidRPr="00E93BC2">
        <w:rPr>
          <w:color w:val="444444"/>
        </w:rPr>
        <w:t>Let’s say the school district gets a levy increase of 20 cents.</w:t>
      </w:r>
    </w:p>
    <w:tbl>
      <w:tblPr>
        <w:tblStyle w:val="TableGrid"/>
        <w:tblW w:w="0" w:type="auto"/>
        <w:jc w:val="center"/>
        <w:tblLook w:val="04A0" w:firstRow="1" w:lastRow="0" w:firstColumn="1" w:lastColumn="0" w:noHBand="0" w:noVBand="1"/>
      </w:tblPr>
      <w:tblGrid>
        <w:gridCol w:w="1728"/>
        <w:gridCol w:w="1008"/>
        <w:gridCol w:w="1260"/>
        <w:gridCol w:w="1728"/>
        <w:gridCol w:w="1008"/>
      </w:tblGrid>
      <w:tr w:rsidR="00821202" w:rsidTr="00D36D50">
        <w:trPr>
          <w:jc w:val="center"/>
        </w:trPr>
        <w:tc>
          <w:tcPr>
            <w:tcW w:w="1728" w:type="dxa"/>
          </w:tcPr>
          <w:p w:rsidR="00821202" w:rsidRPr="005E3212" w:rsidRDefault="00821202" w:rsidP="00D36D50">
            <w:pPr>
              <w:rPr>
                <w:b/>
                <w:sz w:val="24"/>
                <w:szCs w:val="24"/>
              </w:rPr>
            </w:pPr>
            <w:r w:rsidRPr="005E3212">
              <w:rPr>
                <w:b/>
                <w:sz w:val="24"/>
                <w:szCs w:val="24"/>
              </w:rPr>
              <w:t>Unit Type</w:t>
            </w:r>
          </w:p>
        </w:tc>
        <w:tc>
          <w:tcPr>
            <w:tcW w:w="1008" w:type="dxa"/>
          </w:tcPr>
          <w:p w:rsidR="00821202" w:rsidRPr="005E3212" w:rsidRDefault="00821202" w:rsidP="00D36D50">
            <w:pPr>
              <w:rPr>
                <w:b/>
                <w:sz w:val="24"/>
                <w:szCs w:val="24"/>
              </w:rPr>
            </w:pPr>
            <w:r w:rsidRPr="005E3212">
              <w:rPr>
                <w:b/>
                <w:sz w:val="24"/>
                <w:szCs w:val="24"/>
              </w:rPr>
              <w:t>Rate</w:t>
            </w:r>
          </w:p>
        </w:tc>
        <w:tc>
          <w:tcPr>
            <w:tcW w:w="1260" w:type="dxa"/>
          </w:tcPr>
          <w:p w:rsidR="00821202" w:rsidRPr="005E3212" w:rsidRDefault="00821202" w:rsidP="00D36D50">
            <w:pPr>
              <w:rPr>
                <w:b/>
                <w:sz w:val="24"/>
                <w:szCs w:val="24"/>
              </w:rPr>
            </w:pPr>
          </w:p>
        </w:tc>
        <w:tc>
          <w:tcPr>
            <w:tcW w:w="1728" w:type="dxa"/>
          </w:tcPr>
          <w:p w:rsidR="00821202" w:rsidRPr="005E3212" w:rsidRDefault="00821202" w:rsidP="00D36D50">
            <w:pPr>
              <w:rPr>
                <w:b/>
                <w:sz w:val="24"/>
                <w:szCs w:val="24"/>
              </w:rPr>
            </w:pPr>
            <w:r w:rsidRPr="005E3212">
              <w:rPr>
                <w:b/>
                <w:sz w:val="24"/>
                <w:szCs w:val="24"/>
              </w:rPr>
              <w:t>Unit Type</w:t>
            </w:r>
          </w:p>
        </w:tc>
        <w:tc>
          <w:tcPr>
            <w:tcW w:w="1008" w:type="dxa"/>
          </w:tcPr>
          <w:p w:rsidR="00821202" w:rsidRPr="005E3212" w:rsidRDefault="00821202" w:rsidP="00D36D50">
            <w:pPr>
              <w:rPr>
                <w:b/>
                <w:sz w:val="24"/>
                <w:szCs w:val="24"/>
              </w:rPr>
            </w:pPr>
            <w:r w:rsidRPr="005E3212">
              <w:rPr>
                <w:b/>
                <w:sz w:val="24"/>
                <w:szCs w:val="24"/>
              </w:rPr>
              <w:t>Rate</w:t>
            </w:r>
          </w:p>
        </w:tc>
      </w:tr>
      <w:tr w:rsidR="00821202" w:rsidTr="00D36D50">
        <w:trPr>
          <w:jc w:val="center"/>
        </w:trPr>
        <w:tc>
          <w:tcPr>
            <w:tcW w:w="1728" w:type="dxa"/>
          </w:tcPr>
          <w:p w:rsidR="00821202" w:rsidRDefault="00821202" w:rsidP="00D36D50">
            <w:r>
              <w:t>County</w:t>
            </w:r>
          </w:p>
        </w:tc>
        <w:tc>
          <w:tcPr>
            <w:tcW w:w="1008" w:type="dxa"/>
          </w:tcPr>
          <w:p w:rsidR="00821202" w:rsidRDefault="00821202" w:rsidP="00D36D50">
            <w:pPr>
              <w:jc w:val="right"/>
            </w:pPr>
            <w:r>
              <w:t>0.5000</w:t>
            </w:r>
          </w:p>
        </w:tc>
        <w:tc>
          <w:tcPr>
            <w:tcW w:w="1260" w:type="dxa"/>
          </w:tcPr>
          <w:p w:rsidR="00821202" w:rsidRDefault="00821202" w:rsidP="00D36D50"/>
        </w:tc>
        <w:tc>
          <w:tcPr>
            <w:tcW w:w="1728" w:type="dxa"/>
          </w:tcPr>
          <w:p w:rsidR="00821202" w:rsidRDefault="00821202" w:rsidP="00D36D50">
            <w:r>
              <w:t>County</w:t>
            </w:r>
          </w:p>
        </w:tc>
        <w:tc>
          <w:tcPr>
            <w:tcW w:w="1008" w:type="dxa"/>
          </w:tcPr>
          <w:p w:rsidR="00821202" w:rsidRDefault="00821202" w:rsidP="00D36D50">
            <w:pPr>
              <w:jc w:val="right"/>
            </w:pPr>
            <w:r>
              <w:t>0.5000</w:t>
            </w:r>
          </w:p>
        </w:tc>
      </w:tr>
      <w:tr w:rsidR="00821202" w:rsidTr="00D36D50">
        <w:trPr>
          <w:jc w:val="center"/>
        </w:trPr>
        <w:tc>
          <w:tcPr>
            <w:tcW w:w="1728" w:type="dxa"/>
          </w:tcPr>
          <w:p w:rsidR="00821202" w:rsidRDefault="00821202" w:rsidP="00D36D50">
            <w:r>
              <w:t>Township</w:t>
            </w:r>
          </w:p>
        </w:tc>
        <w:tc>
          <w:tcPr>
            <w:tcW w:w="1008" w:type="dxa"/>
          </w:tcPr>
          <w:p w:rsidR="00821202" w:rsidRDefault="00821202" w:rsidP="00D36D50">
            <w:pPr>
              <w:jc w:val="right"/>
            </w:pPr>
            <w:r>
              <w:t>0.1000</w:t>
            </w:r>
          </w:p>
        </w:tc>
        <w:tc>
          <w:tcPr>
            <w:tcW w:w="1260" w:type="dxa"/>
          </w:tcPr>
          <w:p w:rsidR="00821202" w:rsidRDefault="00821202" w:rsidP="00D36D50"/>
        </w:tc>
        <w:tc>
          <w:tcPr>
            <w:tcW w:w="1728" w:type="dxa"/>
          </w:tcPr>
          <w:p w:rsidR="00821202" w:rsidRDefault="00821202" w:rsidP="00D36D50">
            <w:r>
              <w:t>Township</w:t>
            </w:r>
          </w:p>
        </w:tc>
        <w:tc>
          <w:tcPr>
            <w:tcW w:w="1008" w:type="dxa"/>
          </w:tcPr>
          <w:p w:rsidR="00821202" w:rsidRDefault="00821202" w:rsidP="00D36D50">
            <w:pPr>
              <w:jc w:val="right"/>
            </w:pPr>
            <w:r>
              <w:t>0.1000</w:t>
            </w:r>
          </w:p>
        </w:tc>
      </w:tr>
      <w:tr w:rsidR="00821202" w:rsidTr="00D36D50">
        <w:trPr>
          <w:jc w:val="center"/>
        </w:trPr>
        <w:tc>
          <w:tcPr>
            <w:tcW w:w="1728" w:type="dxa"/>
          </w:tcPr>
          <w:p w:rsidR="00821202" w:rsidRDefault="00821202" w:rsidP="00D36D50">
            <w:r>
              <w:t>Municipality</w:t>
            </w:r>
          </w:p>
        </w:tc>
        <w:tc>
          <w:tcPr>
            <w:tcW w:w="1008" w:type="dxa"/>
          </w:tcPr>
          <w:p w:rsidR="00821202" w:rsidRDefault="00821202" w:rsidP="00D36D50">
            <w:pPr>
              <w:jc w:val="right"/>
            </w:pPr>
            <w:r>
              <w:t>1.5000</w:t>
            </w:r>
          </w:p>
        </w:tc>
        <w:tc>
          <w:tcPr>
            <w:tcW w:w="1260" w:type="dxa"/>
          </w:tcPr>
          <w:p w:rsidR="00821202" w:rsidRDefault="00821202" w:rsidP="00D36D50"/>
        </w:tc>
        <w:tc>
          <w:tcPr>
            <w:tcW w:w="1728" w:type="dxa"/>
          </w:tcPr>
          <w:p w:rsidR="00821202" w:rsidRDefault="00821202" w:rsidP="00D36D50">
            <w:r>
              <w:t>Municipality</w:t>
            </w:r>
          </w:p>
        </w:tc>
        <w:tc>
          <w:tcPr>
            <w:tcW w:w="1008" w:type="dxa"/>
          </w:tcPr>
          <w:p w:rsidR="00821202" w:rsidRDefault="00821202" w:rsidP="00D36D50">
            <w:pPr>
              <w:jc w:val="right"/>
            </w:pPr>
            <w:r>
              <w:t>1.5000</w:t>
            </w:r>
          </w:p>
        </w:tc>
      </w:tr>
      <w:tr w:rsidR="00821202" w:rsidTr="00D36D50">
        <w:trPr>
          <w:jc w:val="center"/>
        </w:trPr>
        <w:tc>
          <w:tcPr>
            <w:tcW w:w="1728" w:type="dxa"/>
          </w:tcPr>
          <w:p w:rsidR="00821202" w:rsidRDefault="00821202" w:rsidP="00D36D50">
            <w:r>
              <w:t>School</w:t>
            </w:r>
          </w:p>
        </w:tc>
        <w:tc>
          <w:tcPr>
            <w:tcW w:w="1008" w:type="dxa"/>
          </w:tcPr>
          <w:p w:rsidR="00821202" w:rsidRDefault="00821202" w:rsidP="00D36D50">
            <w:pPr>
              <w:jc w:val="right"/>
            </w:pPr>
            <w:r>
              <w:t>1.0000</w:t>
            </w:r>
          </w:p>
        </w:tc>
        <w:tc>
          <w:tcPr>
            <w:tcW w:w="1260" w:type="dxa"/>
          </w:tcPr>
          <w:p w:rsidR="00821202" w:rsidRDefault="00821202" w:rsidP="00D36D50"/>
        </w:tc>
        <w:tc>
          <w:tcPr>
            <w:tcW w:w="1728" w:type="dxa"/>
          </w:tcPr>
          <w:p w:rsidR="00821202" w:rsidRPr="005E3212" w:rsidRDefault="00821202" w:rsidP="00D36D50">
            <w:pPr>
              <w:rPr>
                <w:color w:val="FF0000"/>
              </w:rPr>
            </w:pPr>
            <w:r w:rsidRPr="005E3212">
              <w:rPr>
                <w:color w:val="FF0000"/>
              </w:rPr>
              <w:t>School</w:t>
            </w:r>
          </w:p>
        </w:tc>
        <w:tc>
          <w:tcPr>
            <w:tcW w:w="1008" w:type="dxa"/>
          </w:tcPr>
          <w:p w:rsidR="00821202" w:rsidRPr="005E3212" w:rsidRDefault="00821202" w:rsidP="00D36D50">
            <w:pPr>
              <w:jc w:val="right"/>
              <w:rPr>
                <w:color w:val="FF0000"/>
              </w:rPr>
            </w:pPr>
            <w:r w:rsidRPr="005E3212">
              <w:rPr>
                <w:color w:val="FF0000"/>
              </w:rPr>
              <w:t>1.2000</w:t>
            </w:r>
          </w:p>
        </w:tc>
      </w:tr>
      <w:tr w:rsidR="00821202" w:rsidTr="00D36D50">
        <w:trPr>
          <w:jc w:val="center"/>
        </w:trPr>
        <w:tc>
          <w:tcPr>
            <w:tcW w:w="1728" w:type="dxa"/>
          </w:tcPr>
          <w:p w:rsidR="00821202" w:rsidRDefault="00821202" w:rsidP="00D36D50">
            <w:r>
              <w:t>Library</w:t>
            </w:r>
          </w:p>
        </w:tc>
        <w:tc>
          <w:tcPr>
            <w:tcW w:w="1008" w:type="dxa"/>
          </w:tcPr>
          <w:p w:rsidR="00821202" w:rsidRDefault="00821202" w:rsidP="00D36D50">
            <w:pPr>
              <w:jc w:val="right"/>
            </w:pPr>
            <w:r>
              <w:t>0.2500</w:t>
            </w:r>
          </w:p>
        </w:tc>
        <w:tc>
          <w:tcPr>
            <w:tcW w:w="1260" w:type="dxa"/>
          </w:tcPr>
          <w:p w:rsidR="00821202" w:rsidRDefault="00821202" w:rsidP="00D36D50"/>
        </w:tc>
        <w:tc>
          <w:tcPr>
            <w:tcW w:w="1728" w:type="dxa"/>
          </w:tcPr>
          <w:p w:rsidR="00821202" w:rsidRDefault="00821202" w:rsidP="00D36D50">
            <w:r>
              <w:t>Library</w:t>
            </w:r>
          </w:p>
        </w:tc>
        <w:tc>
          <w:tcPr>
            <w:tcW w:w="1008" w:type="dxa"/>
          </w:tcPr>
          <w:p w:rsidR="00821202" w:rsidRDefault="00821202" w:rsidP="00D36D50">
            <w:pPr>
              <w:jc w:val="right"/>
            </w:pPr>
            <w:r>
              <w:t>0.2500</w:t>
            </w:r>
          </w:p>
        </w:tc>
      </w:tr>
      <w:tr w:rsidR="00821202" w:rsidTr="00D36D50">
        <w:trPr>
          <w:jc w:val="center"/>
        </w:trPr>
        <w:tc>
          <w:tcPr>
            <w:tcW w:w="1728" w:type="dxa"/>
          </w:tcPr>
          <w:p w:rsidR="00821202" w:rsidRPr="005E3212" w:rsidRDefault="00821202" w:rsidP="00D36D50">
            <w:pPr>
              <w:rPr>
                <w:b/>
                <w:sz w:val="24"/>
                <w:szCs w:val="24"/>
              </w:rPr>
            </w:pPr>
            <w:r w:rsidRPr="005E3212">
              <w:rPr>
                <w:b/>
                <w:sz w:val="24"/>
                <w:szCs w:val="24"/>
              </w:rPr>
              <w:t>District Rate</w:t>
            </w:r>
          </w:p>
        </w:tc>
        <w:tc>
          <w:tcPr>
            <w:tcW w:w="1008" w:type="dxa"/>
          </w:tcPr>
          <w:p w:rsidR="00821202" w:rsidRPr="005E3212" w:rsidRDefault="00821202" w:rsidP="00D36D50">
            <w:pPr>
              <w:jc w:val="right"/>
              <w:rPr>
                <w:b/>
                <w:sz w:val="24"/>
                <w:szCs w:val="24"/>
              </w:rPr>
            </w:pPr>
            <w:r w:rsidRPr="005E3212">
              <w:rPr>
                <w:b/>
                <w:sz w:val="24"/>
                <w:szCs w:val="24"/>
              </w:rPr>
              <w:t>3.3500</w:t>
            </w:r>
          </w:p>
        </w:tc>
        <w:tc>
          <w:tcPr>
            <w:tcW w:w="1260" w:type="dxa"/>
          </w:tcPr>
          <w:p w:rsidR="00821202" w:rsidRPr="005E3212" w:rsidRDefault="00821202" w:rsidP="00D36D50">
            <w:pPr>
              <w:rPr>
                <w:sz w:val="24"/>
                <w:szCs w:val="24"/>
              </w:rPr>
            </w:pPr>
          </w:p>
        </w:tc>
        <w:tc>
          <w:tcPr>
            <w:tcW w:w="1728" w:type="dxa"/>
          </w:tcPr>
          <w:p w:rsidR="00821202" w:rsidRPr="005E3212" w:rsidRDefault="00821202" w:rsidP="00D36D50">
            <w:pPr>
              <w:rPr>
                <w:b/>
                <w:sz w:val="24"/>
                <w:szCs w:val="24"/>
              </w:rPr>
            </w:pPr>
            <w:r w:rsidRPr="005E3212">
              <w:rPr>
                <w:b/>
                <w:sz w:val="24"/>
                <w:szCs w:val="24"/>
              </w:rPr>
              <w:t>District Rate</w:t>
            </w:r>
          </w:p>
        </w:tc>
        <w:tc>
          <w:tcPr>
            <w:tcW w:w="1008" w:type="dxa"/>
          </w:tcPr>
          <w:p w:rsidR="00821202" w:rsidRPr="005E3212" w:rsidRDefault="00821202" w:rsidP="00D36D50">
            <w:pPr>
              <w:jc w:val="right"/>
              <w:rPr>
                <w:sz w:val="24"/>
                <w:szCs w:val="24"/>
              </w:rPr>
            </w:pPr>
            <w:r w:rsidRPr="005E3212">
              <w:rPr>
                <w:sz w:val="24"/>
                <w:szCs w:val="24"/>
              </w:rPr>
              <w:t>3.5500</w:t>
            </w:r>
          </w:p>
        </w:tc>
      </w:tr>
    </w:tbl>
    <w:p w:rsidR="00821202" w:rsidRPr="00821202" w:rsidRDefault="00821202" w:rsidP="00E93BC2">
      <w:pPr>
        <w:pStyle w:val="NormalWeb"/>
        <w:shd w:val="clear" w:color="auto" w:fill="FFFFFF"/>
        <w:spacing w:before="120" w:beforeAutospacing="0" w:after="120" w:afterAutospacing="0"/>
        <w:rPr>
          <w:color w:val="444444"/>
          <w:sz w:val="12"/>
          <w:szCs w:val="12"/>
        </w:rPr>
      </w:pPr>
    </w:p>
    <w:p w:rsidR="00350F3A" w:rsidRPr="00E93BC2" w:rsidRDefault="00350F3A" w:rsidP="00E93BC2">
      <w:pPr>
        <w:pStyle w:val="NormalWeb"/>
        <w:shd w:val="clear" w:color="auto" w:fill="FFFFFF"/>
        <w:spacing w:before="120" w:beforeAutospacing="0" w:after="120" w:afterAutospacing="0"/>
        <w:rPr>
          <w:color w:val="444444"/>
        </w:rPr>
      </w:pPr>
      <w:r w:rsidRPr="00E93BC2">
        <w:rPr>
          <w:color w:val="444444"/>
        </w:rPr>
        <w:t> The coffee shop owner is OK with that, because she’s still paying a maximum of $3,000.</w:t>
      </w:r>
    </w:p>
    <w:p w:rsidR="00350F3A" w:rsidRPr="00E93BC2" w:rsidRDefault="00350F3A" w:rsidP="00E93BC2">
      <w:pPr>
        <w:pStyle w:val="NormalWeb"/>
        <w:shd w:val="clear" w:color="auto" w:fill="FFFFFF"/>
        <w:spacing w:before="120" w:beforeAutospacing="0" w:after="120" w:afterAutospacing="0"/>
        <w:rPr>
          <w:color w:val="444444"/>
        </w:rPr>
      </w:pPr>
      <w:r w:rsidRPr="00E93BC2">
        <w:rPr>
          <w:color w:val="444444"/>
        </w:rPr>
        <w:t>The school gets more revenue, but still not the full amount of its levy. The additional revenue for the school district from the coffee shop’s $3,000 tax payment is coming at the expense of the library, county, township and city.</w:t>
      </w:r>
    </w:p>
    <w:tbl>
      <w:tblPr>
        <w:tblW w:w="9450" w:type="dxa"/>
        <w:jc w:val="center"/>
        <w:shd w:val="clear" w:color="auto" w:fill="FFFFFF"/>
        <w:tblCellMar>
          <w:top w:w="75" w:type="dxa"/>
          <w:left w:w="75" w:type="dxa"/>
          <w:bottom w:w="75" w:type="dxa"/>
          <w:right w:w="75" w:type="dxa"/>
        </w:tblCellMar>
        <w:tblLook w:val="04A0" w:firstRow="1" w:lastRow="0" w:firstColumn="1" w:lastColumn="0" w:noHBand="0" w:noVBand="1"/>
      </w:tblPr>
      <w:tblGrid>
        <w:gridCol w:w="4653"/>
        <w:gridCol w:w="4797"/>
      </w:tblGrid>
      <w:tr w:rsidR="005E3212" w:rsidRPr="00E93BC2" w:rsidTr="005E3212">
        <w:trPr>
          <w:jc w:val="center"/>
        </w:trPr>
        <w:tc>
          <w:tcPr>
            <w:tcW w:w="0" w:type="auto"/>
            <w:shd w:val="clear" w:color="auto" w:fill="FFFFFF"/>
            <w:tcMar>
              <w:top w:w="0" w:type="dxa"/>
              <w:left w:w="0" w:type="dxa"/>
              <w:bottom w:w="0" w:type="dxa"/>
              <w:right w:w="0" w:type="dxa"/>
            </w:tcMar>
            <w:vAlign w:val="center"/>
            <w:hideMark/>
          </w:tcPr>
          <w:p w:rsidR="00350F3A" w:rsidRPr="00E93BC2" w:rsidRDefault="00350F3A" w:rsidP="00E93BC2">
            <w:pPr>
              <w:spacing w:line="240" w:lineRule="auto"/>
              <w:rPr>
                <w:rFonts w:ascii="Times New Roman" w:hAnsi="Times New Roman" w:cs="Times New Roman"/>
                <w:color w:val="444444"/>
                <w:sz w:val="24"/>
                <w:szCs w:val="24"/>
              </w:rPr>
            </w:pPr>
            <w:r w:rsidRPr="00E93BC2">
              <w:rPr>
                <w:rFonts w:ascii="Times New Roman" w:hAnsi="Times New Roman" w:cs="Times New Roman"/>
                <w:noProof/>
                <w:color w:val="444444"/>
                <w:sz w:val="24"/>
                <w:szCs w:val="24"/>
              </w:rPr>
              <w:drawing>
                <wp:inline distT="0" distB="0" distL="0" distR="0">
                  <wp:extent cx="2679700" cy="2610990"/>
                  <wp:effectExtent l="0" t="0" r="6350" b="0"/>
                  <wp:docPr id="17" name="Picture 17" descr="http://www.umbaugh.com/uploads/statewide-look-at-real-number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umbaugh.com/uploads/statewide-look-at-real-numbers-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85969" cy="2617098"/>
                          </a:xfrm>
                          <a:prstGeom prst="rect">
                            <a:avLst/>
                          </a:prstGeom>
                          <a:noFill/>
                          <a:ln>
                            <a:noFill/>
                          </a:ln>
                        </pic:spPr>
                      </pic:pic>
                    </a:graphicData>
                  </a:graphic>
                </wp:inline>
              </w:drawing>
            </w:r>
          </w:p>
        </w:tc>
        <w:tc>
          <w:tcPr>
            <w:tcW w:w="0" w:type="auto"/>
            <w:shd w:val="clear" w:color="auto" w:fill="FFFFFF"/>
            <w:tcMar>
              <w:top w:w="0" w:type="dxa"/>
              <w:left w:w="0" w:type="dxa"/>
              <w:bottom w:w="0" w:type="dxa"/>
              <w:right w:w="0" w:type="dxa"/>
            </w:tcMar>
            <w:vAlign w:val="center"/>
            <w:hideMark/>
          </w:tcPr>
          <w:p w:rsidR="00350F3A" w:rsidRPr="00E93BC2" w:rsidRDefault="00350F3A" w:rsidP="00E93BC2">
            <w:pPr>
              <w:spacing w:line="240" w:lineRule="auto"/>
              <w:rPr>
                <w:rFonts w:ascii="Times New Roman" w:hAnsi="Times New Roman" w:cs="Times New Roman"/>
                <w:color w:val="444444"/>
                <w:sz w:val="24"/>
                <w:szCs w:val="24"/>
              </w:rPr>
            </w:pPr>
            <w:r w:rsidRPr="00E93BC2">
              <w:rPr>
                <w:rFonts w:ascii="Times New Roman" w:hAnsi="Times New Roman" w:cs="Times New Roman"/>
                <w:noProof/>
                <w:color w:val="444444"/>
                <w:sz w:val="24"/>
                <w:szCs w:val="24"/>
              </w:rPr>
              <w:drawing>
                <wp:inline distT="0" distB="0" distL="0" distR="0">
                  <wp:extent cx="2768600" cy="2550257"/>
                  <wp:effectExtent l="0" t="0" r="0" b="2540"/>
                  <wp:docPr id="16" name="Picture 16" descr="http://www.umbaugh.com/uploads/statewide-look-at-real-number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umbaugh.com/uploads/statewide-look-at-real-numbers-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76940" cy="2557939"/>
                          </a:xfrm>
                          <a:prstGeom prst="rect">
                            <a:avLst/>
                          </a:prstGeom>
                          <a:noFill/>
                          <a:ln>
                            <a:noFill/>
                          </a:ln>
                        </pic:spPr>
                      </pic:pic>
                    </a:graphicData>
                  </a:graphic>
                </wp:inline>
              </w:drawing>
            </w:r>
          </w:p>
        </w:tc>
      </w:tr>
      <w:tr w:rsidR="005E3212" w:rsidRPr="00E93BC2" w:rsidTr="005E3212">
        <w:trPr>
          <w:jc w:val="center"/>
        </w:trPr>
        <w:tc>
          <w:tcPr>
            <w:tcW w:w="0" w:type="auto"/>
            <w:shd w:val="clear" w:color="auto" w:fill="FFFFFF"/>
            <w:tcMar>
              <w:top w:w="0" w:type="dxa"/>
              <w:left w:w="0" w:type="dxa"/>
              <w:bottom w:w="0" w:type="dxa"/>
              <w:right w:w="0" w:type="dxa"/>
            </w:tcMar>
            <w:vAlign w:val="center"/>
          </w:tcPr>
          <w:p w:rsidR="005E3212" w:rsidRPr="00E93BC2" w:rsidRDefault="005E3212" w:rsidP="00E93BC2">
            <w:pPr>
              <w:spacing w:line="240" w:lineRule="auto"/>
              <w:rPr>
                <w:rFonts w:ascii="Times New Roman" w:hAnsi="Times New Roman" w:cs="Times New Roman"/>
                <w:noProof/>
                <w:color w:val="444444"/>
                <w:sz w:val="24"/>
                <w:szCs w:val="24"/>
              </w:rPr>
            </w:pPr>
          </w:p>
        </w:tc>
        <w:tc>
          <w:tcPr>
            <w:tcW w:w="0" w:type="auto"/>
            <w:shd w:val="clear" w:color="auto" w:fill="FFFFFF"/>
            <w:tcMar>
              <w:top w:w="0" w:type="dxa"/>
              <w:left w:w="0" w:type="dxa"/>
              <w:bottom w:w="0" w:type="dxa"/>
              <w:right w:w="0" w:type="dxa"/>
            </w:tcMar>
            <w:vAlign w:val="center"/>
          </w:tcPr>
          <w:p w:rsidR="005E3212" w:rsidRPr="00E93BC2" w:rsidRDefault="005E3212" w:rsidP="00E93BC2">
            <w:pPr>
              <w:spacing w:line="240" w:lineRule="auto"/>
              <w:rPr>
                <w:rFonts w:ascii="Times New Roman" w:hAnsi="Times New Roman" w:cs="Times New Roman"/>
                <w:noProof/>
                <w:color w:val="444444"/>
                <w:sz w:val="24"/>
                <w:szCs w:val="24"/>
              </w:rPr>
            </w:pPr>
          </w:p>
        </w:tc>
      </w:tr>
    </w:tbl>
    <w:p w:rsidR="00350F3A" w:rsidRPr="00E93BC2" w:rsidRDefault="00350F3A" w:rsidP="00E93BC2">
      <w:pPr>
        <w:pStyle w:val="NormalWeb"/>
        <w:shd w:val="clear" w:color="auto" w:fill="FFFFFF"/>
        <w:spacing w:before="120" w:beforeAutospacing="0" w:after="120" w:afterAutospacing="0"/>
        <w:rPr>
          <w:color w:val="444444"/>
        </w:rPr>
      </w:pPr>
      <w:r w:rsidRPr="00E93BC2">
        <w:rPr>
          <w:color w:val="444444"/>
        </w:rPr>
        <w:t>Our analysis showed that if the City of Fort Wayne levied an additional dollar in property taxes, it would produce only 60 cents in revenue for the City – and 40 cents of that 60 would come out of distributions for other taxing units. The additional dollar in levy would generate just 20 cents of new revenue.</w:t>
      </w:r>
    </w:p>
    <w:p w:rsidR="005E3212" w:rsidRPr="00821202" w:rsidRDefault="00350F3A" w:rsidP="00821202">
      <w:pPr>
        <w:pStyle w:val="NormalWeb"/>
        <w:shd w:val="clear" w:color="auto" w:fill="FFFFFF"/>
        <w:spacing w:before="120" w:beforeAutospacing="0" w:after="120" w:afterAutospacing="0"/>
        <w:rPr>
          <w:color w:val="444444"/>
        </w:rPr>
      </w:pPr>
      <w:r w:rsidRPr="00E93BC2">
        <w:rPr>
          <w:color w:val="444444"/>
        </w:rPr>
        <w:t>What can local governments do to meet growing expenses? We’ll cover that in future installments of this series.</w:t>
      </w:r>
    </w:p>
    <w:sectPr w:rsidR="005E3212" w:rsidRPr="00821202" w:rsidSect="006B2DF7">
      <w:headerReference w:type="default" r:id="rId21"/>
      <w:footerReference w:type="default" r:id="rId22"/>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3FB" w:rsidRDefault="00D353FB" w:rsidP="00FA720C">
      <w:pPr>
        <w:spacing w:after="0" w:line="240" w:lineRule="auto"/>
      </w:pPr>
      <w:r>
        <w:separator/>
      </w:r>
    </w:p>
  </w:endnote>
  <w:endnote w:type="continuationSeparator" w:id="0">
    <w:p w:rsidR="00D353FB" w:rsidRDefault="00D353FB" w:rsidP="00FA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franklin gothic">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938600"/>
      <w:docPartObj>
        <w:docPartGallery w:val="Page Numbers (Bottom of Page)"/>
        <w:docPartUnique/>
      </w:docPartObj>
    </w:sdtPr>
    <w:sdtEndPr>
      <w:rPr>
        <w:noProof/>
      </w:rPr>
    </w:sdtEndPr>
    <w:sdtContent>
      <w:p w:rsidR="00322933" w:rsidRDefault="00322933">
        <w:pPr>
          <w:pStyle w:val="Footer"/>
          <w:jc w:val="right"/>
        </w:pPr>
        <w:r>
          <w:fldChar w:fldCharType="begin"/>
        </w:r>
        <w:r>
          <w:instrText xml:space="preserve"> PAGE   \* MERGEFORMAT </w:instrText>
        </w:r>
        <w:r>
          <w:fldChar w:fldCharType="separate"/>
        </w:r>
        <w:r w:rsidR="00AC7A5F">
          <w:rPr>
            <w:noProof/>
          </w:rPr>
          <w:t>7</w:t>
        </w:r>
        <w:r>
          <w:rPr>
            <w:noProof/>
          </w:rPr>
          <w:fldChar w:fldCharType="end"/>
        </w:r>
      </w:p>
    </w:sdtContent>
  </w:sdt>
  <w:p w:rsidR="00322933" w:rsidRDefault="003229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3FB" w:rsidRDefault="00D353FB" w:rsidP="00FA720C">
      <w:pPr>
        <w:spacing w:after="0" w:line="240" w:lineRule="auto"/>
      </w:pPr>
      <w:r>
        <w:separator/>
      </w:r>
    </w:p>
  </w:footnote>
  <w:footnote w:type="continuationSeparator" w:id="0">
    <w:p w:rsidR="00D353FB" w:rsidRDefault="00D353FB" w:rsidP="00FA72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20C" w:rsidRPr="00F4428D" w:rsidRDefault="00FA720C" w:rsidP="00F4428D">
    <w:pPr>
      <w:pBdr>
        <w:bottom w:val="single" w:sz="24" w:space="0" w:color="EEEEEE"/>
      </w:pBdr>
      <w:shd w:val="clear" w:color="auto" w:fill="FFFFFF"/>
      <w:spacing w:after="0" w:line="240" w:lineRule="auto"/>
      <w:jc w:val="center"/>
      <w:outlineLvl w:val="0"/>
      <w:rPr>
        <w:rFonts w:ascii="Times New Roman" w:eastAsia="Times New Roman" w:hAnsi="Times New Roman" w:cs="Times New Roman"/>
        <w:b/>
        <w:bCs/>
        <w:kern w:val="36"/>
        <w:sz w:val="24"/>
        <w:szCs w:val="24"/>
      </w:rPr>
    </w:pPr>
    <w:r w:rsidRPr="004E4503">
      <w:rPr>
        <w:rFonts w:ascii="Times New Roman" w:eastAsia="Times New Roman" w:hAnsi="Times New Roman" w:cs="Times New Roman"/>
        <w:b/>
        <w:bCs/>
        <w:kern w:val="36"/>
        <w:sz w:val="24"/>
        <w:szCs w:val="24"/>
      </w:rPr>
      <w:t>S</w:t>
    </w:r>
    <w:r w:rsidRPr="00F4428D">
      <w:rPr>
        <w:rFonts w:ascii="Times New Roman" w:eastAsia="Times New Roman" w:hAnsi="Times New Roman" w:cs="Times New Roman"/>
        <w:b/>
        <w:bCs/>
        <w:kern w:val="36"/>
        <w:sz w:val="24"/>
        <w:szCs w:val="24"/>
      </w:rPr>
      <w:t>tatewide Look-The Real Numbers behind Changes i</w:t>
    </w:r>
    <w:r w:rsidRPr="004E4503">
      <w:rPr>
        <w:rFonts w:ascii="Times New Roman" w:eastAsia="Times New Roman" w:hAnsi="Times New Roman" w:cs="Times New Roman"/>
        <w:b/>
        <w:bCs/>
        <w:kern w:val="36"/>
        <w:sz w:val="24"/>
        <w:szCs w:val="24"/>
      </w:rPr>
      <w:t>n Local Government Finance</w:t>
    </w:r>
  </w:p>
  <w:p w:rsidR="00FA720C" w:rsidRPr="00B33BED" w:rsidRDefault="00FA720C" w:rsidP="00B33BED">
    <w:pPr>
      <w:pBdr>
        <w:bottom w:val="single" w:sz="24" w:space="0" w:color="EEEEEE"/>
      </w:pBdr>
      <w:shd w:val="clear" w:color="auto" w:fill="FFFFFF"/>
      <w:spacing w:after="0" w:line="240" w:lineRule="auto"/>
      <w:jc w:val="center"/>
      <w:outlineLvl w:val="0"/>
      <w:rPr>
        <w:rFonts w:ascii="Times New Roman" w:eastAsia="Times New Roman" w:hAnsi="Times New Roman" w:cs="Times New Roman"/>
        <w:b/>
        <w:bCs/>
        <w:kern w:val="36"/>
        <w:sz w:val="12"/>
        <w:szCs w:val="12"/>
      </w:rPr>
    </w:pPr>
    <w:proofErr w:type="gramStart"/>
    <w:r w:rsidRPr="00926762">
      <w:rPr>
        <w:rFonts w:ascii="Times New Roman" w:eastAsia="Times New Roman" w:hAnsi="Times New Roman" w:cs="Times New Roman"/>
        <w:b/>
        <w:bCs/>
        <w:kern w:val="36"/>
        <w:sz w:val="20"/>
        <w:szCs w:val="20"/>
      </w:rPr>
      <w:t>by</w:t>
    </w:r>
    <w:proofErr w:type="gramEnd"/>
    <w:r w:rsidRPr="00926762">
      <w:rPr>
        <w:rFonts w:ascii="Times New Roman" w:eastAsia="Times New Roman" w:hAnsi="Times New Roman" w:cs="Times New Roman"/>
        <w:b/>
        <w:bCs/>
        <w:kern w:val="36"/>
        <w:sz w:val="20"/>
        <w:szCs w:val="20"/>
      </w:rPr>
      <w:t xml:space="preserve"> Gerald Malone, CPA, Partner, </w:t>
    </w:r>
    <w:proofErr w:type="spellStart"/>
    <w:r w:rsidRPr="00926762">
      <w:rPr>
        <w:rFonts w:ascii="Times New Roman" w:eastAsia="Times New Roman" w:hAnsi="Times New Roman" w:cs="Times New Roman"/>
        <w:b/>
        <w:bCs/>
        <w:kern w:val="36"/>
        <w:sz w:val="20"/>
        <w:szCs w:val="20"/>
      </w:rPr>
      <w:t>Umbaugh</w:t>
    </w:r>
    <w:proofErr w:type="spellEnd"/>
    <w:r w:rsidRPr="00926762">
      <w:rPr>
        <w:rFonts w:ascii="Times New Roman" w:eastAsia="Times New Roman" w:hAnsi="Times New Roman" w:cs="Times New Roman"/>
        <w:b/>
        <w:bCs/>
        <w:kern w:val="36"/>
        <w:sz w:val="20"/>
        <w:szCs w:val="20"/>
      </w:rPr>
      <w:t xml:space="preserve"> Associates</w:t>
    </w:r>
  </w:p>
  <w:p w:rsidR="00A74C53" w:rsidRPr="00B33BED" w:rsidRDefault="00A74C53" w:rsidP="00B33BED">
    <w:pPr>
      <w:pBdr>
        <w:bottom w:val="single" w:sz="24" w:space="0" w:color="EEEEEE"/>
      </w:pBdr>
      <w:shd w:val="clear" w:color="auto" w:fill="FFFFFF"/>
      <w:spacing w:after="0" w:line="240" w:lineRule="auto"/>
      <w:outlineLvl w:val="0"/>
      <w:rPr>
        <w:rFonts w:ascii="Times New Roman" w:eastAsia="Times New Roman" w:hAnsi="Times New Roman" w:cs="Times New Roman"/>
        <w:b/>
        <w:bCs/>
        <w:color w:val="E4AE1E"/>
        <w:kern w:val="36"/>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111210"/>
    <w:multiLevelType w:val="multilevel"/>
    <w:tmpl w:val="453A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521734"/>
    <w:multiLevelType w:val="hybridMultilevel"/>
    <w:tmpl w:val="D9B81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87801FE"/>
    <w:multiLevelType w:val="multilevel"/>
    <w:tmpl w:val="5A4E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03"/>
    <w:rsid w:val="0009719B"/>
    <w:rsid w:val="001D0E99"/>
    <w:rsid w:val="00322933"/>
    <w:rsid w:val="00350F3A"/>
    <w:rsid w:val="004D3BAA"/>
    <w:rsid w:val="004E4503"/>
    <w:rsid w:val="005011D6"/>
    <w:rsid w:val="00522E27"/>
    <w:rsid w:val="00571B04"/>
    <w:rsid w:val="005962D8"/>
    <w:rsid w:val="005E3212"/>
    <w:rsid w:val="00622BC0"/>
    <w:rsid w:val="006A6CD1"/>
    <w:rsid w:val="006B2DF7"/>
    <w:rsid w:val="007326EC"/>
    <w:rsid w:val="00741733"/>
    <w:rsid w:val="007B7C21"/>
    <w:rsid w:val="00821202"/>
    <w:rsid w:val="00830ECC"/>
    <w:rsid w:val="0089273C"/>
    <w:rsid w:val="00926762"/>
    <w:rsid w:val="009768E5"/>
    <w:rsid w:val="00A02715"/>
    <w:rsid w:val="00A74C53"/>
    <w:rsid w:val="00AC7A5F"/>
    <w:rsid w:val="00B25B87"/>
    <w:rsid w:val="00B33BED"/>
    <w:rsid w:val="00B535E7"/>
    <w:rsid w:val="00D353FB"/>
    <w:rsid w:val="00DB66F8"/>
    <w:rsid w:val="00E61589"/>
    <w:rsid w:val="00E93BC2"/>
    <w:rsid w:val="00EB01DF"/>
    <w:rsid w:val="00F4428D"/>
    <w:rsid w:val="00FA720C"/>
    <w:rsid w:val="00FF4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E0504E-5523-4E7D-A9C1-7978058C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E45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503"/>
    <w:rPr>
      <w:rFonts w:ascii="Times New Roman" w:eastAsia="Times New Roman" w:hAnsi="Times New Roman" w:cs="Times New Roman"/>
      <w:b/>
      <w:bCs/>
      <w:kern w:val="36"/>
      <w:sz w:val="48"/>
      <w:szCs w:val="48"/>
    </w:rPr>
  </w:style>
  <w:style w:type="character" w:customStyle="1" w:styleId="Date1">
    <w:name w:val="Date1"/>
    <w:basedOn w:val="DefaultParagraphFont"/>
    <w:rsid w:val="004E4503"/>
  </w:style>
  <w:style w:type="paragraph" w:styleId="NormalWeb">
    <w:name w:val="Normal (Web)"/>
    <w:basedOn w:val="Normal"/>
    <w:uiPriority w:val="99"/>
    <w:unhideWhenUsed/>
    <w:rsid w:val="004E4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E4503"/>
  </w:style>
  <w:style w:type="character" w:styleId="Hyperlink">
    <w:name w:val="Hyperlink"/>
    <w:basedOn w:val="DefaultParagraphFont"/>
    <w:uiPriority w:val="99"/>
    <w:semiHidden/>
    <w:unhideWhenUsed/>
    <w:rsid w:val="004E4503"/>
    <w:rPr>
      <w:color w:val="0000FF"/>
      <w:u w:val="single"/>
    </w:rPr>
  </w:style>
  <w:style w:type="character" w:styleId="Emphasis">
    <w:name w:val="Emphasis"/>
    <w:basedOn w:val="DefaultParagraphFont"/>
    <w:uiPriority w:val="20"/>
    <w:qFormat/>
    <w:rsid w:val="00EB01DF"/>
    <w:rPr>
      <w:i/>
      <w:iCs/>
    </w:rPr>
  </w:style>
  <w:style w:type="character" w:styleId="Strong">
    <w:name w:val="Strong"/>
    <w:basedOn w:val="DefaultParagraphFont"/>
    <w:uiPriority w:val="22"/>
    <w:qFormat/>
    <w:rsid w:val="00EB01DF"/>
    <w:rPr>
      <w:b/>
      <w:bCs/>
    </w:rPr>
  </w:style>
  <w:style w:type="table" w:styleId="TableGrid">
    <w:name w:val="Table Grid"/>
    <w:basedOn w:val="TableNormal"/>
    <w:uiPriority w:val="39"/>
    <w:rsid w:val="005E3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7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20C"/>
  </w:style>
  <w:style w:type="paragraph" w:styleId="Footer">
    <w:name w:val="footer"/>
    <w:basedOn w:val="Normal"/>
    <w:link w:val="FooterChar"/>
    <w:uiPriority w:val="99"/>
    <w:unhideWhenUsed/>
    <w:rsid w:val="00FA7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20C"/>
  </w:style>
  <w:style w:type="paragraph" w:styleId="ListParagraph">
    <w:name w:val="List Paragraph"/>
    <w:basedOn w:val="Normal"/>
    <w:uiPriority w:val="34"/>
    <w:qFormat/>
    <w:rsid w:val="00FA720C"/>
    <w:pPr>
      <w:ind w:left="720"/>
      <w:contextualSpacing/>
    </w:pPr>
  </w:style>
  <w:style w:type="paragraph" w:styleId="BalloonText">
    <w:name w:val="Balloon Text"/>
    <w:basedOn w:val="Normal"/>
    <w:link w:val="BalloonTextChar"/>
    <w:uiPriority w:val="99"/>
    <w:semiHidden/>
    <w:unhideWhenUsed/>
    <w:rsid w:val="00AC7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A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3125">
      <w:bodyDiv w:val="1"/>
      <w:marLeft w:val="0"/>
      <w:marRight w:val="0"/>
      <w:marTop w:val="0"/>
      <w:marBottom w:val="0"/>
      <w:divBdr>
        <w:top w:val="none" w:sz="0" w:space="0" w:color="auto"/>
        <w:left w:val="none" w:sz="0" w:space="0" w:color="auto"/>
        <w:bottom w:val="none" w:sz="0" w:space="0" w:color="auto"/>
        <w:right w:val="none" w:sz="0" w:space="0" w:color="auto"/>
      </w:divBdr>
      <w:divsChild>
        <w:div w:id="681082064">
          <w:marLeft w:val="300"/>
          <w:marRight w:val="0"/>
          <w:marTop w:val="0"/>
          <w:marBottom w:val="0"/>
          <w:divBdr>
            <w:top w:val="none" w:sz="0" w:space="0" w:color="auto"/>
            <w:left w:val="none" w:sz="0" w:space="0" w:color="auto"/>
            <w:bottom w:val="none" w:sz="0" w:space="0" w:color="auto"/>
            <w:right w:val="none" w:sz="0" w:space="0" w:color="auto"/>
          </w:divBdr>
        </w:div>
      </w:divsChild>
    </w:div>
    <w:div w:id="894122430">
      <w:bodyDiv w:val="1"/>
      <w:marLeft w:val="0"/>
      <w:marRight w:val="0"/>
      <w:marTop w:val="0"/>
      <w:marBottom w:val="0"/>
      <w:divBdr>
        <w:top w:val="none" w:sz="0" w:space="0" w:color="auto"/>
        <w:left w:val="none" w:sz="0" w:space="0" w:color="auto"/>
        <w:bottom w:val="none" w:sz="0" w:space="0" w:color="auto"/>
        <w:right w:val="none" w:sz="0" w:space="0" w:color="auto"/>
      </w:divBdr>
      <w:divsChild>
        <w:div w:id="1072776071">
          <w:marLeft w:val="300"/>
          <w:marRight w:val="0"/>
          <w:marTop w:val="0"/>
          <w:marBottom w:val="0"/>
          <w:divBdr>
            <w:top w:val="none" w:sz="0" w:space="0" w:color="auto"/>
            <w:left w:val="none" w:sz="0" w:space="0" w:color="auto"/>
            <w:bottom w:val="none" w:sz="0" w:space="0" w:color="auto"/>
            <w:right w:val="none" w:sz="0" w:space="0" w:color="auto"/>
          </w:divBdr>
        </w:div>
      </w:divsChild>
    </w:div>
    <w:div w:id="1144392845">
      <w:bodyDiv w:val="1"/>
      <w:marLeft w:val="0"/>
      <w:marRight w:val="0"/>
      <w:marTop w:val="0"/>
      <w:marBottom w:val="0"/>
      <w:divBdr>
        <w:top w:val="none" w:sz="0" w:space="0" w:color="auto"/>
        <w:left w:val="none" w:sz="0" w:space="0" w:color="auto"/>
        <w:bottom w:val="none" w:sz="0" w:space="0" w:color="auto"/>
        <w:right w:val="none" w:sz="0" w:space="0" w:color="auto"/>
      </w:divBdr>
      <w:divsChild>
        <w:div w:id="1085299533">
          <w:marLeft w:val="300"/>
          <w:marRight w:val="0"/>
          <w:marTop w:val="0"/>
          <w:marBottom w:val="0"/>
          <w:divBdr>
            <w:top w:val="none" w:sz="0" w:space="0" w:color="auto"/>
            <w:left w:val="none" w:sz="0" w:space="0" w:color="auto"/>
            <w:bottom w:val="none" w:sz="0" w:space="0" w:color="auto"/>
            <w:right w:val="none" w:sz="0" w:space="0" w:color="auto"/>
          </w:divBdr>
        </w:div>
      </w:divsChild>
    </w:div>
    <w:div w:id="1216770155">
      <w:bodyDiv w:val="1"/>
      <w:marLeft w:val="0"/>
      <w:marRight w:val="0"/>
      <w:marTop w:val="0"/>
      <w:marBottom w:val="0"/>
      <w:divBdr>
        <w:top w:val="none" w:sz="0" w:space="0" w:color="auto"/>
        <w:left w:val="none" w:sz="0" w:space="0" w:color="auto"/>
        <w:bottom w:val="none" w:sz="0" w:space="0" w:color="auto"/>
        <w:right w:val="none" w:sz="0" w:space="0" w:color="auto"/>
      </w:divBdr>
      <w:divsChild>
        <w:div w:id="2047363042">
          <w:marLeft w:val="300"/>
          <w:marRight w:val="0"/>
          <w:marTop w:val="0"/>
          <w:marBottom w:val="0"/>
          <w:divBdr>
            <w:top w:val="none" w:sz="0" w:space="0" w:color="auto"/>
            <w:left w:val="none" w:sz="0" w:space="0" w:color="auto"/>
            <w:bottom w:val="none" w:sz="0" w:space="0" w:color="auto"/>
            <w:right w:val="none" w:sz="0" w:space="0" w:color="auto"/>
          </w:divBdr>
        </w:div>
      </w:divsChild>
    </w:div>
    <w:div w:id="1732079256">
      <w:bodyDiv w:val="1"/>
      <w:marLeft w:val="0"/>
      <w:marRight w:val="0"/>
      <w:marTop w:val="0"/>
      <w:marBottom w:val="0"/>
      <w:divBdr>
        <w:top w:val="none" w:sz="0" w:space="0" w:color="auto"/>
        <w:left w:val="none" w:sz="0" w:space="0" w:color="auto"/>
        <w:bottom w:val="none" w:sz="0" w:space="0" w:color="auto"/>
        <w:right w:val="none" w:sz="0" w:space="0" w:color="auto"/>
      </w:divBdr>
      <w:divsChild>
        <w:div w:id="608586436">
          <w:marLeft w:val="300"/>
          <w:marRight w:val="0"/>
          <w:marTop w:val="0"/>
          <w:marBottom w:val="0"/>
          <w:divBdr>
            <w:top w:val="none" w:sz="0" w:space="0" w:color="auto"/>
            <w:left w:val="none" w:sz="0" w:space="0" w:color="auto"/>
            <w:bottom w:val="none" w:sz="0" w:space="0" w:color="auto"/>
            <w:right w:val="none" w:sz="0" w:space="0" w:color="auto"/>
          </w:divBdr>
        </w:div>
      </w:divsChild>
    </w:div>
    <w:div w:id="1851917512">
      <w:bodyDiv w:val="1"/>
      <w:marLeft w:val="0"/>
      <w:marRight w:val="0"/>
      <w:marTop w:val="0"/>
      <w:marBottom w:val="0"/>
      <w:divBdr>
        <w:top w:val="none" w:sz="0" w:space="0" w:color="auto"/>
        <w:left w:val="none" w:sz="0" w:space="0" w:color="auto"/>
        <w:bottom w:val="none" w:sz="0" w:space="0" w:color="auto"/>
        <w:right w:val="none" w:sz="0" w:space="0" w:color="auto"/>
      </w:divBdr>
      <w:divsChild>
        <w:div w:id="717627814">
          <w:marLeft w:val="300"/>
          <w:marRight w:val="0"/>
          <w:marTop w:val="0"/>
          <w:marBottom w:val="0"/>
          <w:divBdr>
            <w:top w:val="none" w:sz="0" w:space="0" w:color="auto"/>
            <w:left w:val="none" w:sz="0" w:space="0" w:color="auto"/>
            <w:bottom w:val="none" w:sz="0" w:space="0" w:color="auto"/>
            <w:right w:val="none" w:sz="0" w:space="0" w:color="auto"/>
          </w:divBdr>
        </w:div>
      </w:divsChild>
    </w:div>
    <w:div w:id="1878421141">
      <w:bodyDiv w:val="1"/>
      <w:marLeft w:val="0"/>
      <w:marRight w:val="0"/>
      <w:marTop w:val="0"/>
      <w:marBottom w:val="0"/>
      <w:divBdr>
        <w:top w:val="none" w:sz="0" w:space="0" w:color="auto"/>
        <w:left w:val="none" w:sz="0" w:space="0" w:color="auto"/>
        <w:bottom w:val="none" w:sz="0" w:space="0" w:color="auto"/>
        <w:right w:val="none" w:sz="0" w:space="0" w:color="auto"/>
      </w:divBdr>
      <w:divsChild>
        <w:div w:id="129370429">
          <w:marLeft w:val="300"/>
          <w:marRight w:val="0"/>
          <w:marTop w:val="0"/>
          <w:marBottom w:val="0"/>
          <w:divBdr>
            <w:top w:val="none" w:sz="0" w:space="0" w:color="auto"/>
            <w:left w:val="none" w:sz="0" w:space="0" w:color="auto"/>
            <w:bottom w:val="none" w:sz="0" w:space="0" w:color="auto"/>
            <w:right w:val="none" w:sz="0" w:space="0" w:color="auto"/>
          </w:divBdr>
        </w:div>
      </w:divsChild>
    </w:div>
    <w:div w:id="2030374073">
      <w:bodyDiv w:val="1"/>
      <w:marLeft w:val="0"/>
      <w:marRight w:val="0"/>
      <w:marTop w:val="0"/>
      <w:marBottom w:val="0"/>
      <w:divBdr>
        <w:top w:val="none" w:sz="0" w:space="0" w:color="auto"/>
        <w:left w:val="none" w:sz="0" w:space="0" w:color="auto"/>
        <w:bottom w:val="none" w:sz="0" w:space="0" w:color="auto"/>
        <w:right w:val="none" w:sz="0" w:space="0" w:color="auto"/>
      </w:divBdr>
      <w:divsChild>
        <w:div w:id="1458141588">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baugh.com/latest-news/statewide-look-the-real-numbers-behind-changes-in-local-government-finance" TargetMode="Externa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www.umbaugh.com/latest-news/statewide-look-the-real-numbers-behind-changes-in-local-government-fin3" TargetMode="External"/><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mbaugh.com/latest-news/statewide-look-the-real-numbers-behind-changes-in-local-government-fi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www.umbaugh.com/latest-news/statewide-look-the-real-numbers-behind-changes-in-local-govt-finance-part-2" TargetMode="External"/><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2360</Words>
  <Characters>13456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Laughlin</dc:creator>
  <cp:keywords/>
  <dc:description/>
  <cp:lastModifiedBy>Sara Laughlin</cp:lastModifiedBy>
  <cp:revision>4</cp:revision>
  <cp:lastPrinted>2015-08-31T18:38:00Z</cp:lastPrinted>
  <dcterms:created xsi:type="dcterms:W3CDTF">2015-08-29T19:34:00Z</dcterms:created>
  <dcterms:modified xsi:type="dcterms:W3CDTF">2015-08-31T18:44:00Z</dcterms:modified>
</cp:coreProperties>
</file>