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1485" w:rsidRPr="00701485" w:rsidRDefault="00E10E6C" w:rsidP="00701485">
      <w:pPr>
        <w:pBdr>
          <w:bottom w:val="single" w:sz="12" w:space="3" w:color="E4E4E4"/>
        </w:pBdr>
        <w:shd w:val="clear" w:color="auto" w:fill="FFFFFF"/>
        <w:spacing w:after="240" w:line="240" w:lineRule="auto"/>
        <w:outlineLvl w:val="0"/>
        <w:rPr>
          <w:rFonts w:ascii="Arial" w:eastAsia="Times New Roman" w:hAnsi="Arial" w:cs="Arial"/>
          <w:b/>
          <w:bCs/>
          <w:color w:val="000000"/>
          <w:kern w:val="36"/>
          <w:sz w:val="55"/>
          <w:szCs w:val="55"/>
        </w:rPr>
      </w:pPr>
      <w:r w:rsidRPr="00E10E6C">
        <w:rPr>
          <w:rFonts w:ascii="Arial" w:eastAsia="Times New Roman" w:hAnsi="Arial" w:cs="Arial"/>
          <w:b/>
          <w:bCs/>
          <w:color w:val="000000"/>
          <w:kern w:val="36"/>
          <w:sz w:val="55"/>
          <w:szCs w:val="55"/>
        </w:rPr>
        <w:drawing>
          <wp:anchor distT="0" distB="0" distL="114300" distR="114300" simplePos="0" relativeHeight="251658240" behindDoc="0" locked="0" layoutInCell="1" allowOverlap="1">
            <wp:simplePos x="914400" y="457200"/>
            <wp:positionH relativeFrom="margin">
              <wp:align>right</wp:align>
            </wp:positionH>
            <wp:positionV relativeFrom="margin">
              <wp:align>top</wp:align>
            </wp:positionV>
            <wp:extent cx="866775" cy="866775"/>
            <wp:effectExtent l="0" t="0" r="9525" b="9525"/>
            <wp:wrapSquare wrapText="bothSides"/>
            <wp:docPr id="2055" name="Picture 7" descr="Economics - Category Color Yel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 name="Picture 7" descr="Economics - Category Color Yellow"/>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extLst/>
                  </pic:spPr>
                </pic:pic>
              </a:graphicData>
            </a:graphic>
          </wp:anchor>
        </w:drawing>
      </w:r>
      <w:r w:rsidR="00701485" w:rsidRPr="00701485">
        <w:rPr>
          <w:rFonts w:ascii="Arial" w:eastAsia="Times New Roman" w:hAnsi="Arial" w:cs="Arial"/>
          <w:b/>
          <w:bCs/>
          <w:color w:val="000000"/>
          <w:kern w:val="36"/>
          <w:sz w:val="55"/>
          <w:szCs w:val="55"/>
        </w:rPr>
        <w:t>Income Inequality</w:t>
      </w:r>
    </w:p>
    <w:p w:rsidR="00E10E6C" w:rsidRDefault="00E10E6C" w:rsidP="00701485">
      <w:pPr>
        <w:shd w:val="clear" w:color="auto" w:fill="FFFFFF"/>
        <w:spacing w:after="0" w:line="240" w:lineRule="auto"/>
        <w:rPr>
          <w:rFonts w:ascii="Arial" w:eastAsia="Times New Roman" w:hAnsi="Arial" w:cs="Arial"/>
          <w:color w:val="303030"/>
          <w:sz w:val="20"/>
          <w:szCs w:val="20"/>
        </w:rPr>
      </w:pPr>
    </w:p>
    <w:p w:rsidR="00E10E6C" w:rsidRDefault="00E10E6C" w:rsidP="00701485">
      <w:pPr>
        <w:shd w:val="clear" w:color="auto" w:fill="FFFFFF"/>
        <w:spacing w:after="0" w:line="240" w:lineRule="auto"/>
        <w:rPr>
          <w:rFonts w:ascii="Arial" w:eastAsia="Times New Roman" w:hAnsi="Arial" w:cs="Arial"/>
          <w:color w:val="303030"/>
          <w:sz w:val="20"/>
          <w:szCs w:val="20"/>
        </w:rPr>
      </w:pPr>
    </w:p>
    <w:p w:rsidR="00E10E6C" w:rsidRDefault="00E10E6C" w:rsidP="00701485">
      <w:pPr>
        <w:shd w:val="clear" w:color="auto" w:fill="FFFFFF"/>
        <w:spacing w:after="0" w:line="240" w:lineRule="auto"/>
        <w:rPr>
          <w:rFonts w:ascii="Arial" w:eastAsia="Times New Roman" w:hAnsi="Arial" w:cs="Arial"/>
          <w:color w:val="303030"/>
          <w:sz w:val="20"/>
          <w:szCs w:val="20"/>
        </w:rPr>
      </w:pPr>
    </w:p>
    <w:p w:rsidR="00701485" w:rsidRPr="00701485" w:rsidRDefault="00701485" w:rsidP="00701485">
      <w:pPr>
        <w:shd w:val="clear" w:color="auto" w:fill="FFFFFF"/>
        <w:spacing w:after="0" w:line="240" w:lineRule="auto"/>
        <w:rPr>
          <w:rFonts w:ascii="Arial" w:eastAsia="Times New Roman" w:hAnsi="Arial" w:cs="Arial"/>
          <w:color w:val="303030"/>
          <w:sz w:val="20"/>
          <w:szCs w:val="20"/>
        </w:rPr>
      </w:pPr>
      <w:bookmarkStart w:id="0" w:name="_GoBack"/>
      <w:bookmarkEnd w:id="0"/>
      <w:r w:rsidRPr="00701485">
        <w:rPr>
          <w:rFonts w:ascii="Arial" w:eastAsia="Times New Roman" w:hAnsi="Arial" w:cs="Arial"/>
          <w:color w:val="303030"/>
          <w:sz w:val="20"/>
          <w:szCs w:val="20"/>
        </w:rPr>
        <w:t>President Barack Obama has called income inequality the “defining challenge of our time.”[</w:t>
      </w:r>
      <w:hyperlink r:id="rId5" w:anchor="Notes and Resources" w:history="1">
        <w:r w:rsidRPr="00701485">
          <w:rPr>
            <w:rFonts w:ascii="Arial" w:eastAsia="Times New Roman" w:hAnsi="Arial" w:cs="Arial"/>
            <w:color w:val="1A90B4"/>
            <w:sz w:val="20"/>
            <w:szCs w:val="20"/>
            <w:u w:val="single"/>
          </w:rPr>
          <w:t>1</w:t>
        </w:r>
      </w:hyperlink>
      <w:r w:rsidRPr="00701485">
        <w:rPr>
          <w:rFonts w:ascii="Arial" w:eastAsia="Times New Roman" w:hAnsi="Arial" w:cs="Arial"/>
          <w:color w:val="303030"/>
          <w:sz w:val="20"/>
          <w:szCs w:val="20"/>
        </w:rPr>
        <w:t>] According to the Institute for Policy Studies, income inequality refers to the extent to which income is distributed in an uneven manner among a population – and in the United States, income inequality has been growing markedly for the past 30 years. [</w:t>
      </w:r>
      <w:hyperlink r:id="rId6" w:anchor="Notes and Resources" w:history="1">
        <w:r w:rsidRPr="00701485">
          <w:rPr>
            <w:rFonts w:ascii="Arial" w:eastAsia="Times New Roman" w:hAnsi="Arial" w:cs="Arial"/>
            <w:color w:val="1A90B4"/>
            <w:sz w:val="20"/>
            <w:szCs w:val="20"/>
            <w:u w:val="single"/>
          </w:rPr>
          <w:t>2</w:t>
        </w:r>
      </w:hyperlink>
      <w:r w:rsidRPr="00701485">
        <w:rPr>
          <w:rFonts w:ascii="Arial" w:eastAsia="Times New Roman" w:hAnsi="Arial" w:cs="Arial"/>
          <w:color w:val="303030"/>
          <w:sz w:val="20"/>
          <w:szCs w:val="20"/>
        </w:rPr>
        <w:t>]   </w:t>
      </w:r>
    </w:p>
    <w:p w:rsidR="00701485" w:rsidRPr="00701485" w:rsidRDefault="00701485" w:rsidP="00701485">
      <w:pPr>
        <w:shd w:val="clear" w:color="auto" w:fill="FFFFFF"/>
        <w:spacing w:before="100" w:beforeAutospacing="1" w:after="100" w:afterAutospacing="1" w:line="240" w:lineRule="auto"/>
        <w:outlineLvl w:val="2"/>
        <w:rPr>
          <w:rFonts w:ascii="Arial" w:eastAsia="Times New Roman" w:hAnsi="Arial" w:cs="Arial"/>
          <w:b/>
          <w:bCs/>
          <w:color w:val="303030"/>
          <w:sz w:val="27"/>
          <w:szCs w:val="27"/>
        </w:rPr>
      </w:pPr>
      <w:r w:rsidRPr="00701485">
        <w:rPr>
          <w:rFonts w:ascii="Arial" w:eastAsia="Times New Roman" w:hAnsi="Arial" w:cs="Arial"/>
          <w:b/>
          <w:bCs/>
          <w:color w:val="303030"/>
          <w:sz w:val="27"/>
          <w:szCs w:val="27"/>
        </w:rPr>
        <w:t>How It’s Developing</w:t>
      </w:r>
    </w:p>
    <w:p w:rsidR="00701485" w:rsidRPr="00701485" w:rsidRDefault="00701485" w:rsidP="00701485">
      <w:pPr>
        <w:shd w:val="clear" w:color="auto" w:fill="FFFFFF"/>
        <w:spacing w:after="0" w:line="240" w:lineRule="auto"/>
        <w:rPr>
          <w:rFonts w:ascii="Arial" w:eastAsia="Times New Roman" w:hAnsi="Arial" w:cs="Arial"/>
          <w:color w:val="303030"/>
          <w:sz w:val="20"/>
          <w:szCs w:val="20"/>
        </w:rPr>
      </w:pPr>
      <w:r w:rsidRPr="00701485">
        <w:rPr>
          <w:rFonts w:ascii="Arial" w:eastAsia="Times New Roman" w:hAnsi="Arial" w:cs="Arial"/>
          <w:color w:val="303030"/>
          <w:sz w:val="20"/>
          <w:szCs w:val="20"/>
        </w:rPr>
        <w:t>In 2010, the richest 1% of the population had 34% of the accumulated wealth (the very top 0.1% had some 15%) – and during the most recent recession from 2009 to 2012, the top 1% captured 95% of income growth, if capital gains are included. [</w:t>
      </w:r>
      <w:hyperlink r:id="rId7" w:anchor="Notes and Resources" w:history="1">
        <w:r w:rsidRPr="00701485">
          <w:rPr>
            <w:rFonts w:ascii="Arial" w:eastAsia="Times New Roman" w:hAnsi="Arial" w:cs="Arial"/>
            <w:color w:val="1A90B4"/>
            <w:sz w:val="20"/>
            <w:szCs w:val="20"/>
            <w:u w:val="single"/>
          </w:rPr>
          <w:t>3</w:t>
        </w:r>
      </w:hyperlink>
      <w:r w:rsidRPr="00701485">
        <w:rPr>
          <w:rFonts w:ascii="Arial" w:eastAsia="Times New Roman" w:hAnsi="Arial" w:cs="Arial"/>
          <w:color w:val="303030"/>
          <w:sz w:val="20"/>
          <w:szCs w:val="20"/>
        </w:rPr>
        <w:t>] </w:t>
      </w:r>
    </w:p>
    <w:p w:rsidR="00701485" w:rsidRPr="00701485" w:rsidRDefault="00701485" w:rsidP="00701485">
      <w:pPr>
        <w:shd w:val="clear" w:color="auto" w:fill="FFFFFF"/>
        <w:spacing w:after="0" w:line="240" w:lineRule="auto"/>
        <w:rPr>
          <w:rFonts w:ascii="Arial" w:eastAsia="Times New Roman" w:hAnsi="Arial" w:cs="Arial"/>
          <w:color w:val="303030"/>
          <w:sz w:val="20"/>
          <w:szCs w:val="20"/>
        </w:rPr>
      </w:pPr>
      <w:r w:rsidRPr="00701485">
        <w:rPr>
          <w:rFonts w:ascii="Arial" w:eastAsia="Times New Roman" w:hAnsi="Arial" w:cs="Arial"/>
          <w:color w:val="303030"/>
          <w:sz w:val="20"/>
          <w:szCs w:val="20"/>
        </w:rPr>
        <w:t> </w:t>
      </w:r>
    </w:p>
    <w:p w:rsidR="00701485" w:rsidRPr="00701485" w:rsidRDefault="00701485" w:rsidP="00701485">
      <w:pPr>
        <w:shd w:val="clear" w:color="auto" w:fill="FFFFFF"/>
        <w:spacing w:after="0" w:line="240" w:lineRule="auto"/>
        <w:rPr>
          <w:rFonts w:ascii="Arial" w:eastAsia="Times New Roman" w:hAnsi="Arial" w:cs="Arial"/>
          <w:color w:val="303030"/>
          <w:sz w:val="20"/>
          <w:szCs w:val="20"/>
        </w:rPr>
      </w:pPr>
      <w:r w:rsidRPr="00701485">
        <w:rPr>
          <w:rFonts w:ascii="Arial" w:eastAsia="Times New Roman" w:hAnsi="Arial" w:cs="Arial"/>
          <w:color w:val="303030"/>
          <w:sz w:val="20"/>
          <w:szCs w:val="20"/>
        </w:rPr>
        <w:t>Education, long viewed as key to securing high-paying jobs, is becoming even more important. According to a Georgetown University study, since the recession started in the U.S. in 2007, the number of jobs needing a college degree has risen by 2.2 million while the number of jobs for those with only a high-school education fell by 5.8 million. [</w:t>
      </w:r>
      <w:hyperlink r:id="rId8" w:anchor="Notes and Resources" w:history="1">
        <w:r w:rsidRPr="00701485">
          <w:rPr>
            <w:rFonts w:ascii="Arial" w:eastAsia="Times New Roman" w:hAnsi="Arial" w:cs="Arial"/>
            <w:color w:val="1A90B4"/>
            <w:sz w:val="20"/>
            <w:szCs w:val="20"/>
            <w:u w:val="single"/>
          </w:rPr>
          <w:t>4</w:t>
        </w:r>
      </w:hyperlink>
      <w:r w:rsidRPr="00701485">
        <w:rPr>
          <w:rFonts w:ascii="Arial" w:eastAsia="Times New Roman" w:hAnsi="Arial" w:cs="Arial"/>
          <w:color w:val="303030"/>
          <w:sz w:val="20"/>
          <w:szCs w:val="20"/>
        </w:rPr>
        <w:t>] Households headed by someone with at least a bachelor’s degree received nearly a majority (49.7%) of aggregate U.S. household income – and with one in three homes now college educated, half of the aggregate U.S. income goes to one third of the households, up from 37% in 1991. [</w:t>
      </w:r>
      <w:hyperlink r:id="rId9" w:anchor="Notes and Resources" w:history="1">
        <w:r w:rsidRPr="00701485">
          <w:rPr>
            <w:rFonts w:ascii="Arial" w:eastAsia="Times New Roman" w:hAnsi="Arial" w:cs="Arial"/>
            <w:color w:val="1A90B4"/>
            <w:sz w:val="20"/>
            <w:szCs w:val="20"/>
            <w:u w:val="single"/>
          </w:rPr>
          <w:t>5</w:t>
        </w:r>
      </w:hyperlink>
      <w:r w:rsidRPr="00701485">
        <w:rPr>
          <w:rFonts w:ascii="Arial" w:eastAsia="Times New Roman" w:hAnsi="Arial" w:cs="Arial"/>
          <w:color w:val="303030"/>
          <w:sz w:val="20"/>
          <w:szCs w:val="20"/>
        </w:rPr>
        <w:t>] While this provides clearer indication of education’s value, it also points to a trend where only those who can afford and have access to quality education will be able to earn a decent income.</w:t>
      </w:r>
    </w:p>
    <w:p w:rsidR="00701485" w:rsidRPr="00701485" w:rsidRDefault="00701485" w:rsidP="00701485">
      <w:pPr>
        <w:shd w:val="clear" w:color="auto" w:fill="FFFFFF"/>
        <w:spacing w:after="0" w:line="240" w:lineRule="auto"/>
        <w:rPr>
          <w:rFonts w:ascii="Arial" w:eastAsia="Times New Roman" w:hAnsi="Arial" w:cs="Arial"/>
          <w:color w:val="303030"/>
          <w:sz w:val="20"/>
          <w:szCs w:val="20"/>
        </w:rPr>
      </w:pPr>
      <w:r w:rsidRPr="00701485">
        <w:rPr>
          <w:rFonts w:ascii="Arial" w:eastAsia="Times New Roman" w:hAnsi="Arial" w:cs="Arial"/>
          <w:color w:val="303030"/>
          <w:sz w:val="20"/>
          <w:szCs w:val="20"/>
        </w:rPr>
        <w:t> </w:t>
      </w:r>
    </w:p>
    <w:p w:rsidR="00701485" w:rsidRPr="00701485" w:rsidRDefault="00701485" w:rsidP="00701485">
      <w:pPr>
        <w:shd w:val="clear" w:color="auto" w:fill="FFFFFF"/>
        <w:spacing w:after="0" w:line="240" w:lineRule="auto"/>
        <w:rPr>
          <w:rFonts w:ascii="Arial" w:eastAsia="Times New Roman" w:hAnsi="Arial" w:cs="Arial"/>
          <w:color w:val="303030"/>
          <w:sz w:val="20"/>
          <w:szCs w:val="20"/>
        </w:rPr>
      </w:pPr>
      <w:r w:rsidRPr="00701485">
        <w:rPr>
          <w:rFonts w:ascii="Arial" w:eastAsia="Times New Roman" w:hAnsi="Arial" w:cs="Arial"/>
          <w:color w:val="303030"/>
          <w:sz w:val="20"/>
          <w:szCs w:val="20"/>
        </w:rPr>
        <w:t>At the same time that education is demonstrating its importance, technology is dominating the economy and income opportunities and, therefore, helping to shape the type of education that is most important. Traditional beliefs held that as technology improved, opportunities would increase and income inequality would decrease. But in today’s economy, technology-driven jobs provide higher salaries and greater opportunities for those most closely associated with the technology sector. Equally important, advances in technology may displace or eliminate many middle-class jobs. In the US and other advanced economies, declines in manufacturing and the replacement of clerks and secretaries with software, mean there have been fewer high-paying jobs for less skilled workers. [</w:t>
      </w:r>
      <w:hyperlink r:id="rId10" w:anchor="Notes and Resources" w:history="1">
        <w:r w:rsidRPr="00701485">
          <w:rPr>
            <w:rFonts w:ascii="Arial" w:eastAsia="Times New Roman" w:hAnsi="Arial" w:cs="Arial"/>
            <w:color w:val="1A90B4"/>
            <w:sz w:val="20"/>
            <w:szCs w:val="20"/>
            <w:u w:val="single"/>
          </w:rPr>
          <w:t>6</w:t>
        </w:r>
      </w:hyperlink>
      <w:r w:rsidRPr="00701485">
        <w:rPr>
          <w:rFonts w:ascii="Arial" w:eastAsia="Times New Roman" w:hAnsi="Arial" w:cs="Arial"/>
          <w:color w:val="303030"/>
          <w:sz w:val="20"/>
          <w:szCs w:val="20"/>
        </w:rPr>
        <w:t>] Advances in software that can be more easily reproduced, distributed, and updated, have begun to eliminate the need for more skilled professionals like tax consultants or legal professionals - and improvements in automation likely to happen in the coming decades may eliminate the need for positions in the service industry. [</w:t>
      </w:r>
      <w:hyperlink r:id="rId11" w:anchor="Notes and Resources" w:history="1">
        <w:r w:rsidRPr="00701485">
          <w:rPr>
            <w:rFonts w:ascii="Arial" w:eastAsia="Times New Roman" w:hAnsi="Arial" w:cs="Arial"/>
            <w:color w:val="1A90B4"/>
            <w:sz w:val="20"/>
            <w:szCs w:val="20"/>
            <w:u w:val="single"/>
          </w:rPr>
          <w:t>7</w:t>
        </w:r>
      </w:hyperlink>
      <w:r w:rsidRPr="00701485">
        <w:rPr>
          <w:rFonts w:ascii="Arial" w:eastAsia="Times New Roman" w:hAnsi="Arial" w:cs="Arial"/>
          <w:color w:val="303030"/>
          <w:sz w:val="20"/>
          <w:szCs w:val="20"/>
        </w:rPr>
        <w:t>] Technology that is distributed and regularly updated also leads to a culture where a single top product often dominates a market, minimizing the opportunity for a competitive pool of providers and maximizing the earning potential of those associated with the dominating product - an “economics of superstars.” [</w:t>
      </w:r>
      <w:hyperlink r:id="rId12" w:anchor="Notes and Resources" w:history="1">
        <w:r w:rsidRPr="00701485">
          <w:rPr>
            <w:rFonts w:ascii="Arial" w:eastAsia="Times New Roman" w:hAnsi="Arial" w:cs="Arial"/>
            <w:color w:val="1A90B4"/>
            <w:sz w:val="20"/>
            <w:szCs w:val="20"/>
            <w:u w:val="single"/>
          </w:rPr>
          <w:t>8</w:t>
        </w:r>
      </w:hyperlink>
      <w:r w:rsidRPr="00701485">
        <w:rPr>
          <w:rFonts w:ascii="Arial" w:eastAsia="Times New Roman" w:hAnsi="Arial" w:cs="Arial"/>
          <w:color w:val="303030"/>
          <w:sz w:val="20"/>
          <w:szCs w:val="20"/>
        </w:rPr>
        <w:t>]</w:t>
      </w:r>
    </w:p>
    <w:p w:rsidR="00701485" w:rsidRPr="00701485" w:rsidRDefault="00701485" w:rsidP="00701485">
      <w:pPr>
        <w:shd w:val="clear" w:color="auto" w:fill="FFFFFF"/>
        <w:spacing w:after="0" w:line="240" w:lineRule="auto"/>
        <w:rPr>
          <w:rFonts w:ascii="Arial" w:eastAsia="Times New Roman" w:hAnsi="Arial" w:cs="Arial"/>
          <w:color w:val="303030"/>
          <w:sz w:val="20"/>
          <w:szCs w:val="20"/>
        </w:rPr>
      </w:pPr>
      <w:r w:rsidRPr="00701485">
        <w:rPr>
          <w:rFonts w:ascii="Arial" w:eastAsia="Times New Roman" w:hAnsi="Arial" w:cs="Arial"/>
          <w:color w:val="303030"/>
          <w:sz w:val="20"/>
          <w:szCs w:val="20"/>
        </w:rPr>
        <w:t> </w:t>
      </w:r>
    </w:p>
    <w:p w:rsidR="00701485" w:rsidRPr="00701485" w:rsidRDefault="00701485" w:rsidP="00701485">
      <w:pPr>
        <w:shd w:val="clear" w:color="auto" w:fill="FFFFFF"/>
        <w:spacing w:after="0" w:line="240" w:lineRule="auto"/>
        <w:rPr>
          <w:rFonts w:ascii="Arial" w:eastAsia="Times New Roman" w:hAnsi="Arial" w:cs="Arial"/>
          <w:color w:val="303030"/>
          <w:sz w:val="20"/>
          <w:szCs w:val="20"/>
        </w:rPr>
      </w:pPr>
      <w:r w:rsidRPr="00701485">
        <w:rPr>
          <w:rFonts w:ascii="Arial" w:eastAsia="Times New Roman" w:hAnsi="Arial" w:cs="Arial"/>
          <w:color w:val="303030"/>
          <w:sz w:val="20"/>
          <w:szCs w:val="20"/>
        </w:rPr>
        <w:t xml:space="preserve">Technology is also driving new categories of work such as app-based platforms - Uber, </w:t>
      </w:r>
      <w:proofErr w:type="spellStart"/>
      <w:r w:rsidRPr="00701485">
        <w:rPr>
          <w:rFonts w:ascii="Arial" w:eastAsia="Times New Roman" w:hAnsi="Arial" w:cs="Arial"/>
          <w:color w:val="303030"/>
          <w:sz w:val="20"/>
          <w:szCs w:val="20"/>
        </w:rPr>
        <w:t>AirBnB</w:t>
      </w:r>
      <w:proofErr w:type="spellEnd"/>
      <w:r w:rsidRPr="00701485">
        <w:rPr>
          <w:rFonts w:ascii="Arial" w:eastAsia="Times New Roman" w:hAnsi="Arial" w:cs="Arial"/>
          <w:color w:val="303030"/>
          <w:sz w:val="20"/>
          <w:szCs w:val="20"/>
        </w:rPr>
        <w:t xml:space="preserve">, </w:t>
      </w:r>
      <w:proofErr w:type="spellStart"/>
      <w:r w:rsidRPr="00701485">
        <w:rPr>
          <w:rFonts w:ascii="Arial" w:eastAsia="Times New Roman" w:hAnsi="Arial" w:cs="Arial"/>
          <w:color w:val="303030"/>
          <w:sz w:val="20"/>
          <w:szCs w:val="20"/>
        </w:rPr>
        <w:t>Taskrabbit</w:t>
      </w:r>
      <w:proofErr w:type="spellEnd"/>
      <w:r w:rsidRPr="00701485">
        <w:rPr>
          <w:rFonts w:ascii="Arial" w:eastAsia="Times New Roman" w:hAnsi="Arial" w:cs="Arial"/>
          <w:color w:val="303030"/>
          <w:sz w:val="20"/>
          <w:szCs w:val="20"/>
        </w:rPr>
        <w:t xml:space="preserve"> – that provide new ways to connect independent workers to clients. But there is concern that these programs may fail to provide cumulative income streams that generate enough to make a living, further increasing income inequality in a technologically-driven world. [</w:t>
      </w:r>
      <w:hyperlink r:id="rId13" w:anchor="Notes and Resources" w:history="1">
        <w:r w:rsidRPr="00701485">
          <w:rPr>
            <w:rFonts w:ascii="Arial" w:eastAsia="Times New Roman" w:hAnsi="Arial" w:cs="Arial"/>
            <w:color w:val="1A90B4"/>
            <w:sz w:val="20"/>
            <w:szCs w:val="20"/>
            <w:u w:val="single"/>
          </w:rPr>
          <w:t>9</w:t>
        </w:r>
      </w:hyperlink>
      <w:r w:rsidRPr="00701485">
        <w:rPr>
          <w:rFonts w:ascii="Arial" w:eastAsia="Times New Roman" w:hAnsi="Arial" w:cs="Arial"/>
          <w:color w:val="303030"/>
          <w:sz w:val="20"/>
          <w:szCs w:val="20"/>
        </w:rPr>
        <w:t>] While these programs help keep people in the labor force, part-time and temporary work may not be able to replace full-time or salaried income and benefits, a concern for younger and less educated demographic groups that might be particularly involved in this sector. [</w:t>
      </w:r>
      <w:hyperlink r:id="rId14" w:anchor="Notes and Resources" w:history="1">
        <w:r w:rsidRPr="00701485">
          <w:rPr>
            <w:rFonts w:ascii="Arial" w:eastAsia="Times New Roman" w:hAnsi="Arial" w:cs="Arial"/>
            <w:color w:val="1A90B4"/>
            <w:sz w:val="20"/>
            <w:szCs w:val="20"/>
            <w:u w:val="single"/>
          </w:rPr>
          <w:t>10</w:t>
        </w:r>
      </w:hyperlink>
      <w:r w:rsidRPr="00701485">
        <w:rPr>
          <w:rFonts w:ascii="Arial" w:eastAsia="Times New Roman" w:hAnsi="Arial" w:cs="Arial"/>
          <w:color w:val="303030"/>
          <w:sz w:val="20"/>
          <w:szCs w:val="20"/>
        </w:rPr>
        <w:t>]</w:t>
      </w:r>
    </w:p>
    <w:p w:rsidR="00701485" w:rsidRPr="00701485" w:rsidRDefault="00701485" w:rsidP="00701485">
      <w:pPr>
        <w:shd w:val="clear" w:color="auto" w:fill="FFFFFF"/>
        <w:spacing w:after="0" w:line="240" w:lineRule="auto"/>
        <w:rPr>
          <w:rFonts w:ascii="Arial" w:eastAsia="Times New Roman" w:hAnsi="Arial" w:cs="Arial"/>
          <w:color w:val="303030"/>
          <w:sz w:val="20"/>
          <w:szCs w:val="20"/>
        </w:rPr>
      </w:pPr>
      <w:r w:rsidRPr="00701485">
        <w:rPr>
          <w:rFonts w:ascii="Arial" w:eastAsia="Times New Roman" w:hAnsi="Arial" w:cs="Arial"/>
          <w:color w:val="303030"/>
          <w:sz w:val="20"/>
          <w:szCs w:val="20"/>
        </w:rPr>
        <w:t> </w:t>
      </w:r>
    </w:p>
    <w:p w:rsidR="00701485" w:rsidRPr="00701485" w:rsidRDefault="00701485" w:rsidP="00701485">
      <w:pPr>
        <w:shd w:val="clear" w:color="auto" w:fill="FFFFFF"/>
        <w:spacing w:after="0" w:line="240" w:lineRule="auto"/>
        <w:rPr>
          <w:rFonts w:ascii="Arial" w:eastAsia="Times New Roman" w:hAnsi="Arial" w:cs="Arial"/>
          <w:color w:val="303030"/>
          <w:sz w:val="20"/>
          <w:szCs w:val="20"/>
        </w:rPr>
      </w:pPr>
      <w:r w:rsidRPr="00701485">
        <w:rPr>
          <w:rFonts w:ascii="Arial" w:eastAsia="Times New Roman" w:hAnsi="Arial" w:cs="Arial"/>
          <w:color w:val="303030"/>
          <w:sz w:val="20"/>
          <w:szCs w:val="20"/>
        </w:rPr>
        <w:t>These factors and the weak economy have contributed to a growing number of people experiencing poverty, including over 12 million (in 2011) adults of working age with no children at home, of which over 5 million receive no assistance from any of the major federal welfare programs (food stamps, Medicaid, cash welfare, housing assistance and tax credits) – the highest number since 1992. [</w:t>
      </w:r>
      <w:hyperlink r:id="rId15" w:anchor="Notes and Resources" w:history="1">
        <w:r w:rsidRPr="00701485">
          <w:rPr>
            <w:rFonts w:ascii="Arial" w:eastAsia="Times New Roman" w:hAnsi="Arial" w:cs="Arial"/>
            <w:color w:val="1A90B4"/>
            <w:sz w:val="20"/>
            <w:szCs w:val="20"/>
            <w:u w:val="single"/>
          </w:rPr>
          <w:t>11</w:t>
        </w:r>
      </w:hyperlink>
      <w:r w:rsidRPr="00701485">
        <w:rPr>
          <w:rFonts w:ascii="Arial" w:eastAsia="Times New Roman" w:hAnsi="Arial" w:cs="Arial"/>
          <w:color w:val="303030"/>
          <w:sz w:val="20"/>
          <w:szCs w:val="20"/>
        </w:rPr>
        <w:t>] This population of adults experiencing poverty is growing even as government spending on poverty programs has increased.</w:t>
      </w:r>
    </w:p>
    <w:p w:rsidR="00701485" w:rsidRPr="00701485" w:rsidRDefault="00701485" w:rsidP="00701485">
      <w:pPr>
        <w:shd w:val="clear" w:color="auto" w:fill="FFFFFF"/>
        <w:spacing w:after="0" w:line="240" w:lineRule="auto"/>
        <w:rPr>
          <w:rFonts w:ascii="Arial" w:eastAsia="Times New Roman" w:hAnsi="Arial" w:cs="Arial"/>
          <w:color w:val="303030"/>
          <w:sz w:val="20"/>
          <w:szCs w:val="20"/>
        </w:rPr>
      </w:pPr>
      <w:r w:rsidRPr="00701485">
        <w:rPr>
          <w:rFonts w:ascii="Arial" w:eastAsia="Times New Roman" w:hAnsi="Arial" w:cs="Arial"/>
          <w:color w:val="303030"/>
          <w:sz w:val="20"/>
          <w:szCs w:val="20"/>
        </w:rPr>
        <w:t> </w:t>
      </w:r>
    </w:p>
    <w:p w:rsidR="00701485" w:rsidRPr="00701485" w:rsidRDefault="00701485" w:rsidP="00701485">
      <w:pPr>
        <w:shd w:val="clear" w:color="auto" w:fill="FFFFFF"/>
        <w:spacing w:after="0" w:line="240" w:lineRule="auto"/>
        <w:rPr>
          <w:rFonts w:ascii="Arial" w:eastAsia="Times New Roman" w:hAnsi="Arial" w:cs="Arial"/>
          <w:color w:val="303030"/>
          <w:sz w:val="20"/>
          <w:szCs w:val="20"/>
        </w:rPr>
      </w:pPr>
      <w:r w:rsidRPr="00701485">
        <w:rPr>
          <w:rFonts w:ascii="Arial" w:eastAsia="Times New Roman" w:hAnsi="Arial" w:cs="Arial"/>
          <w:color w:val="303030"/>
          <w:sz w:val="20"/>
          <w:szCs w:val="20"/>
        </w:rPr>
        <w:t>The income and opportunity gap may be of particular concern as it widens along racial lines, with data showing that African American populations experience high rates of child poverty, declining rates of employment to population, and continuing high rates of single parenthood as well as indications that African Americans may have lost more wealth during the recession. [</w:t>
      </w:r>
      <w:hyperlink r:id="rId16" w:anchor="Notes and Resources" w:history="1">
        <w:r w:rsidRPr="00701485">
          <w:rPr>
            <w:rFonts w:ascii="Arial" w:eastAsia="Times New Roman" w:hAnsi="Arial" w:cs="Arial"/>
            <w:color w:val="1A90B4"/>
            <w:sz w:val="20"/>
            <w:szCs w:val="20"/>
            <w:u w:val="single"/>
          </w:rPr>
          <w:t>12</w:t>
        </w:r>
      </w:hyperlink>
      <w:r w:rsidRPr="00701485">
        <w:rPr>
          <w:rFonts w:ascii="Arial" w:eastAsia="Times New Roman" w:hAnsi="Arial" w:cs="Arial"/>
          <w:color w:val="303030"/>
          <w:sz w:val="20"/>
          <w:szCs w:val="20"/>
        </w:rPr>
        <w:t xml:space="preserve">] Even as policies and practices </w:t>
      </w:r>
      <w:r w:rsidRPr="00701485">
        <w:rPr>
          <w:rFonts w:ascii="Arial" w:eastAsia="Times New Roman" w:hAnsi="Arial" w:cs="Arial"/>
          <w:color w:val="303030"/>
          <w:sz w:val="20"/>
          <w:szCs w:val="20"/>
        </w:rPr>
        <w:lastRenderedPageBreak/>
        <w:t>seek to provide greater opportunities for all people, diverse communities may experience income inequality in disproportionate ways.</w:t>
      </w:r>
    </w:p>
    <w:p w:rsidR="00701485" w:rsidRPr="00701485" w:rsidRDefault="00701485" w:rsidP="00701485">
      <w:pPr>
        <w:shd w:val="clear" w:color="auto" w:fill="FFFFFF"/>
        <w:spacing w:after="0" w:line="240" w:lineRule="auto"/>
        <w:rPr>
          <w:rFonts w:ascii="Arial" w:eastAsia="Times New Roman" w:hAnsi="Arial" w:cs="Arial"/>
          <w:color w:val="303030"/>
          <w:sz w:val="20"/>
          <w:szCs w:val="20"/>
        </w:rPr>
      </w:pPr>
      <w:r w:rsidRPr="00701485">
        <w:rPr>
          <w:rFonts w:ascii="Arial" w:eastAsia="Times New Roman" w:hAnsi="Arial" w:cs="Arial"/>
          <w:color w:val="303030"/>
          <w:sz w:val="20"/>
          <w:szCs w:val="20"/>
        </w:rPr>
        <w:t> </w:t>
      </w:r>
    </w:p>
    <w:p w:rsidR="00701485" w:rsidRPr="00701485" w:rsidRDefault="00701485" w:rsidP="00701485">
      <w:pPr>
        <w:shd w:val="clear" w:color="auto" w:fill="FFFFFF"/>
        <w:spacing w:after="0" w:line="240" w:lineRule="auto"/>
        <w:rPr>
          <w:rFonts w:ascii="Arial" w:eastAsia="Times New Roman" w:hAnsi="Arial" w:cs="Arial"/>
          <w:color w:val="303030"/>
          <w:sz w:val="20"/>
          <w:szCs w:val="20"/>
        </w:rPr>
      </w:pPr>
      <w:r w:rsidRPr="00701485">
        <w:rPr>
          <w:rFonts w:ascii="Arial" w:eastAsia="Times New Roman" w:hAnsi="Arial" w:cs="Arial"/>
          <w:color w:val="303030"/>
          <w:sz w:val="20"/>
          <w:szCs w:val="20"/>
        </w:rPr>
        <w:t>As a growing number of people experience poverty, a growing proportion of wealth is concentrated in fewer hands. The longer-term concern for income inequality focuses on this  concentration of wealth in just a few hands. If the rate of return on capital exceeds the economic growth rate, then the money that the wealthy make from their wealth will rise faster than the rate that wages rise, limiting the opportunities for a merit-based system where individuals can rise in the economic ranks. [</w:t>
      </w:r>
      <w:hyperlink r:id="rId17" w:anchor="Notes and Resources" w:history="1">
        <w:r w:rsidRPr="00701485">
          <w:rPr>
            <w:rFonts w:ascii="Arial" w:eastAsia="Times New Roman" w:hAnsi="Arial" w:cs="Arial"/>
            <w:color w:val="1A90B4"/>
            <w:sz w:val="20"/>
            <w:szCs w:val="20"/>
            <w:u w:val="single"/>
          </w:rPr>
          <w:t>13</w:t>
        </w:r>
      </w:hyperlink>
      <w:r w:rsidRPr="00701485">
        <w:rPr>
          <w:rFonts w:ascii="Arial" w:eastAsia="Times New Roman" w:hAnsi="Arial" w:cs="Arial"/>
          <w:color w:val="303030"/>
          <w:sz w:val="20"/>
          <w:szCs w:val="20"/>
        </w:rPr>
        <w:t>] </w:t>
      </w:r>
    </w:p>
    <w:p w:rsidR="00701485" w:rsidRPr="00701485" w:rsidRDefault="00701485" w:rsidP="00701485">
      <w:pPr>
        <w:shd w:val="clear" w:color="auto" w:fill="FFFFFF"/>
        <w:spacing w:before="100" w:beforeAutospacing="1" w:after="100" w:afterAutospacing="1" w:line="240" w:lineRule="auto"/>
        <w:outlineLvl w:val="2"/>
        <w:rPr>
          <w:rFonts w:ascii="Arial" w:eastAsia="Times New Roman" w:hAnsi="Arial" w:cs="Arial"/>
          <w:b/>
          <w:bCs/>
          <w:color w:val="303030"/>
          <w:sz w:val="27"/>
          <w:szCs w:val="27"/>
        </w:rPr>
      </w:pPr>
      <w:r w:rsidRPr="00701485">
        <w:rPr>
          <w:rFonts w:ascii="Arial" w:eastAsia="Times New Roman" w:hAnsi="Arial" w:cs="Arial"/>
          <w:b/>
          <w:bCs/>
          <w:color w:val="303030"/>
          <w:sz w:val="27"/>
          <w:szCs w:val="27"/>
        </w:rPr>
        <w:t>Why It Matters</w:t>
      </w:r>
    </w:p>
    <w:p w:rsidR="00701485" w:rsidRPr="00701485" w:rsidRDefault="00701485" w:rsidP="00701485">
      <w:pPr>
        <w:shd w:val="clear" w:color="auto" w:fill="FFFFFF"/>
        <w:spacing w:after="0" w:line="240" w:lineRule="auto"/>
        <w:rPr>
          <w:rFonts w:ascii="Arial" w:eastAsia="Times New Roman" w:hAnsi="Arial" w:cs="Arial"/>
          <w:color w:val="303030"/>
          <w:sz w:val="20"/>
          <w:szCs w:val="20"/>
        </w:rPr>
      </w:pPr>
      <w:r w:rsidRPr="00701485">
        <w:rPr>
          <w:rFonts w:ascii="Arial" w:eastAsia="Times New Roman" w:hAnsi="Arial" w:cs="Arial"/>
          <w:color w:val="303030"/>
          <w:sz w:val="20"/>
          <w:szCs w:val="20"/>
        </w:rPr>
        <w:t>As income inequality widens, so too does the “achievement gap” in education. A </w:t>
      </w:r>
      <w:hyperlink r:id="rId18" w:tgtFrame="_top" w:history="1">
        <w:r w:rsidRPr="00701485">
          <w:rPr>
            <w:rFonts w:ascii="Arial" w:eastAsia="Times New Roman" w:hAnsi="Arial" w:cs="Arial"/>
            <w:color w:val="1A90B4"/>
            <w:sz w:val="20"/>
            <w:szCs w:val="20"/>
            <w:u w:val="single"/>
          </w:rPr>
          <w:t>Stanford University study</w:t>
        </w:r>
      </w:hyperlink>
      <w:r w:rsidRPr="00701485">
        <w:rPr>
          <w:rFonts w:ascii="Arial" w:eastAsia="Times New Roman" w:hAnsi="Arial" w:cs="Arial"/>
          <w:color w:val="303030"/>
          <w:sz w:val="20"/>
          <w:szCs w:val="20"/>
        </w:rPr>
        <w:t> found that the achievement gap between rich and poor students on standardized tests is 30 to 40 percent wider than it was a quarter-century ago. [</w:t>
      </w:r>
      <w:hyperlink r:id="rId19" w:anchor="Notes and Resources" w:history="1">
        <w:r w:rsidRPr="00701485">
          <w:rPr>
            <w:rFonts w:ascii="Arial" w:eastAsia="Times New Roman" w:hAnsi="Arial" w:cs="Arial"/>
            <w:color w:val="1A90B4"/>
            <w:sz w:val="20"/>
            <w:szCs w:val="20"/>
            <w:u w:val="single"/>
          </w:rPr>
          <w:t>14]</w:t>
        </w:r>
      </w:hyperlink>
      <w:r w:rsidRPr="00701485">
        <w:rPr>
          <w:rFonts w:ascii="Arial" w:eastAsia="Times New Roman" w:hAnsi="Arial" w:cs="Arial"/>
          <w:color w:val="303030"/>
          <w:sz w:val="20"/>
          <w:szCs w:val="20"/>
        </w:rPr>
        <w:t> In an economy where income potential is dependent on educational achievement, programs that combat the “achievement gap” – pre-school, tutors, summer camps, after-school activities – will be recognized as opportunities to also address income inequality.</w:t>
      </w:r>
    </w:p>
    <w:p w:rsidR="00701485" w:rsidRPr="00701485" w:rsidRDefault="00701485" w:rsidP="00701485">
      <w:pPr>
        <w:shd w:val="clear" w:color="auto" w:fill="FFFFFF"/>
        <w:spacing w:after="0" w:line="240" w:lineRule="auto"/>
        <w:rPr>
          <w:rFonts w:ascii="Arial" w:eastAsia="Times New Roman" w:hAnsi="Arial" w:cs="Arial"/>
          <w:color w:val="303030"/>
          <w:sz w:val="20"/>
          <w:szCs w:val="20"/>
        </w:rPr>
      </w:pPr>
      <w:r w:rsidRPr="00701485">
        <w:rPr>
          <w:rFonts w:ascii="Arial" w:eastAsia="Times New Roman" w:hAnsi="Arial" w:cs="Arial"/>
          <w:color w:val="303030"/>
          <w:sz w:val="20"/>
          <w:szCs w:val="20"/>
        </w:rPr>
        <w:t> </w:t>
      </w:r>
    </w:p>
    <w:p w:rsidR="00701485" w:rsidRPr="00701485" w:rsidRDefault="00701485" w:rsidP="00701485">
      <w:pPr>
        <w:shd w:val="clear" w:color="auto" w:fill="FFFFFF"/>
        <w:spacing w:after="0" w:line="240" w:lineRule="auto"/>
        <w:rPr>
          <w:rFonts w:ascii="Arial" w:eastAsia="Times New Roman" w:hAnsi="Arial" w:cs="Arial"/>
          <w:color w:val="303030"/>
          <w:sz w:val="20"/>
          <w:szCs w:val="20"/>
        </w:rPr>
      </w:pPr>
      <w:r w:rsidRPr="00701485">
        <w:rPr>
          <w:rFonts w:ascii="Arial" w:eastAsia="Times New Roman" w:hAnsi="Arial" w:cs="Arial"/>
          <w:color w:val="303030"/>
          <w:sz w:val="20"/>
          <w:szCs w:val="20"/>
        </w:rPr>
        <w:t>Income inequality limits the upward mobility of people, especially the ability of those at the bottom of the distribution to rise. Melissa Kearney, senior fellow and director at the Brookings Institution’s Hamilton Project and an economics professor at the University of Maryland, recognizes the complicated nature of the issue but sees “massive skill upgrading” as the most obvious, though incredibly difficult, solution. [</w:t>
      </w:r>
      <w:hyperlink r:id="rId20" w:anchor="Notes and Resources" w:history="1">
        <w:r w:rsidRPr="00701485">
          <w:rPr>
            <w:rFonts w:ascii="Arial" w:eastAsia="Times New Roman" w:hAnsi="Arial" w:cs="Arial"/>
            <w:color w:val="1A90B4"/>
            <w:sz w:val="20"/>
            <w:szCs w:val="20"/>
            <w:u w:val="single"/>
          </w:rPr>
          <w:t>15</w:t>
        </w:r>
      </w:hyperlink>
      <w:r w:rsidRPr="00701485">
        <w:rPr>
          <w:rFonts w:ascii="Arial" w:eastAsia="Times New Roman" w:hAnsi="Arial" w:cs="Arial"/>
          <w:color w:val="303030"/>
          <w:sz w:val="20"/>
          <w:szCs w:val="20"/>
        </w:rPr>
        <w:t>] Library service in support of skills development will likely become more important, especially for administrators and funders, but libraries will need to make sure the skills they seek to develop align with the types of skills needed in the economy, especially STEM skills.</w:t>
      </w:r>
    </w:p>
    <w:p w:rsidR="00701485" w:rsidRPr="00701485" w:rsidRDefault="00701485" w:rsidP="00701485">
      <w:pPr>
        <w:shd w:val="clear" w:color="auto" w:fill="FFFFFF"/>
        <w:spacing w:after="0" w:line="240" w:lineRule="auto"/>
        <w:rPr>
          <w:rFonts w:ascii="Arial" w:eastAsia="Times New Roman" w:hAnsi="Arial" w:cs="Arial"/>
          <w:color w:val="303030"/>
          <w:sz w:val="20"/>
          <w:szCs w:val="20"/>
        </w:rPr>
      </w:pPr>
      <w:r w:rsidRPr="00701485">
        <w:rPr>
          <w:rFonts w:ascii="Arial" w:eastAsia="Times New Roman" w:hAnsi="Arial" w:cs="Arial"/>
          <w:color w:val="303030"/>
          <w:sz w:val="20"/>
          <w:szCs w:val="20"/>
        </w:rPr>
        <w:t> </w:t>
      </w:r>
    </w:p>
    <w:p w:rsidR="00701485" w:rsidRPr="00701485" w:rsidRDefault="00701485" w:rsidP="00701485">
      <w:pPr>
        <w:shd w:val="clear" w:color="auto" w:fill="FFFFFF"/>
        <w:spacing w:after="0" w:line="240" w:lineRule="auto"/>
        <w:rPr>
          <w:rFonts w:ascii="Arial" w:eastAsia="Times New Roman" w:hAnsi="Arial" w:cs="Arial"/>
          <w:color w:val="303030"/>
          <w:sz w:val="20"/>
          <w:szCs w:val="20"/>
        </w:rPr>
      </w:pPr>
      <w:r w:rsidRPr="00701485">
        <w:rPr>
          <w:rFonts w:ascii="Arial" w:eastAsia="Times New Roman" w:hAnsi="Arial" w:cs="Arial"/>
          <w:color w:val="303030"/>
          <w:sz w:val="20"/>
          <w:szCs w:val="20"/>
        </w:rPr>
        <w:t>The library space - or any opportunities the library provides that bring different people together - could be especially important in combating income inequality. High-income and low-income people increasingly live in separate spaces, with city governments, schools, and communities more fragmented and less inclusive than before. [</w:t>
      </w:r>
      <w:hyperlink r:id="rId21" w:anchor="Notes and Resources" w:history="1">
        <w:r w:rsidRPr="00701485">
          <w:rPr>
            <w:rFonts w:ascii="Arial" w:eastAsia="Times New Roman" w:hAnsi="Arial" w:cs="Arial"/>
            <w:color w:val="1A90B4"/>
            <w:sz w:val="20"/>
            <w:szCs w:val="20"/>
            <w:u w:val="single"/>
          </w:rPr>
          <w:t>16</w:t>
        </w:r>
      </w:hyperlink>
      <w:r w:rsidRPr="00701485">
        <w:rPr>
          <w:rFonts w:ascii="Arial" w:eastAsia="Times New Roman" w:hAnsi="Arial" w:cs="Arial"/>
          <w:color w:val="303030"/>
          <w:sz w:val="20"/>
          <w:szCs w:val="20"/>
        </w:rPr>
        <w:t>] Spaces and programs that bring people together may help improve the dialog across inequality and provide important economic opportunities for the community. </w:t>
      </w:r>
    </w:p>
    <w:p w:rsidR="00701485" w:rsidRPr="00701485" w:rsidRDefault="00701485" w:rsidP="00701485">
      <w:pPr>
        <w:shd w:val="clear" w:color="auto" w:fill="FFFFFF"/>
        <w:spacing w:after="0" w:line="240" w:lineRule="auto"/>
        <w:rPr>
          <w:rFonts w:ascii="Arial" w:eastAsia="Times New Roman" w:hAnsi="Arial" w:cs="Arial"/>
          <w:color w:val="303030"/>
          <w:sz w:val="20"/>
          <w:szCs w:val="20"/>
        </w:rPr>
      </w:pPr>
      <w:r w:rsidRPr="00701485">
        <w:rPr>
          <w:rFonts w:ascii="Arial" w:eastAsia="Times New Roman" w:hAnsi="Arial" w:cs="Arial"/>
          <w:color w:val="303030"/>
          <w:sz w:val="20"/>
          <w:szCs w:val="20"/>
        </w:rPr>
        <w:t> </w:t>
      </w:r>
    </w:p>
    <w:p w:rsidR="00701485" w:rsidRPr="00701485" w:rsidRDefault="00701485" w:rsidP="00701485">
      <w:pPr>
        <w:shd w:val="clear" w:color="auto" w:fill="FFFFFF"/>
        <w:spacing w:line="240" w:lineRule="auto"/>
        <w:rPr>
          <w:rFonts w:ascii="Arial" w:eastAsia="Times New Roman" w:hAnsi="Arial" w:cs="Arial"/>
          <w:color w:val="303030"/>
          <w:sz w:val="20"/>
          <w:szCs w:val="20"/>
        </w:rPr>
      </w:pPr>
      <w:r w:rsidRPr="00701485">
        <w:rPr>
          <w:rFonts w:ascii="Arial" w:eastAsia="Times New Roman" w:hAnsi="Arial" w:cs="Arial"/>
          <w:color w:val="303030"/>
          <w:sz w:val="20"/>
          <w:szCs w:val="20"/>
        </w:rPr>
        <w:t>Income inequality may be especially important in large urban areas, where the wealth have significantly higher incomes and the poor may be challenged by costs of living. Across the 50 largest cities, households in the 95th percentile of income earned 11.6 times as much as households at the 20th percentile, a considerably wider margin than the national average ratio of 9.3. [</w:t>
      </w:r>
      <w:hyperlink r:id="rId22" w:anchor="Notes and Resources" w:history="1">
        <w:r w:rsidRPr="00701485">
          <w:rPr>
            <w:rFonts w:ascii="Arial" w:eastAsia="Times New Roman" w:hAnsi="Arial" w:cs="Arial"/>
            <w:color w:val="1A90B4"/>
            <w:sz w:val="20"/>
            <w:szCs w:val="20"/>
            <w:u w:val="single"/>
          </w:rPr>
          <w:t>17</w:t>
        </w:r>
      </w:hyperlink>
      <w:r w:rsidRPr="00701485">
        <w:rPr>
          <w:rFonts w:ascii="Arial" w:eastAsia="Times New Roman" w:hAnsi="Arial" w:cs="Arial"/>
          <w:color w:val="303030"/>
          <w:sz w:val="20"/>
          <w:szCs w:val="20"/>
        </w:rPr>
        <w:t>] Even as many large cities debate minimum wage increases meant to support lower income earners, longer-term issues like educational disparities and housing and zoning policies may maintain or even advance inequality. For libraries in larger cities, this inequality could change user populations, funding structures, or even workforce availability. </w:t>
      </w:r>
    </w:p>
    <w:p w:rsidR="00E10E6C" w:rsidRDefault="00E10E6C">
      <w:pPr>
        <w:rPr>
          <w:rFonts w:ascii="Arial" w:eastAsia="Times New Roman" w:hAnsi="Arial" w:cs="Arial"/>
          <w:b/>
          <w:bCs/>
          <w:color w:val="303030"/>
          <w:sz w:val="27"/>
          <w:szCs w:val="27"/>
        </w:rPr>
      </w:pPr>
      <w:bookmarkStart w:id="1" w:name="Notes_and_Resources"/>
      <w:bookmarkEnd w:id="1"/>
      <w:r>
        <w:rPr>
          <w:rFonts w:ascii="Arial" w:eastAsia="Times New Roman" w:hAnsi="Arial" w:cs="Arial"/>
          <w:b/>
          <w:bCs/>
          <w:color w:val="303030"/>
          <w:sz w:val="27"/>
          <w:szCs w:val="27"/>
        </w:rPr>
        <w:br w:type="page"/>
      </w:r>
    </w:p>
    <w:p w:rsidR="00701485" w:rsidRPr="00701485" w:rsidRDefault="00701485" w:rsidP="00701485">
      <w:pPr>
        <w:shd w:val="clear" w:color="auto" w:fill="FFFFFF"/>
        <w:spacing w:before="100" w:beforeAutospacing="1" w:after="100" w:afterAutospacing="1" w:line="240" w:lineRule="auto"/>
        <w:outlineLvl w:val="2"/>
        <w:rPr>
          <w:rFonts w:ascii="Arial" w:eastAsia="Times New Roman" w:hAnsi="Arial" w:cs="Arial"/>
          <w:b/>
          <w:bCs/>
          <w:color w:val="303030"/>
          <w:sz w:val="27"/>
          <w:szCs w:val="27"/>
        </w:rPr>
      </w:pPr>
      <w:r w:rsidRPr="00701485">
        <w:rPr>
          <w:rFonts w:ascii="Arial" w:eastAsia="Times New Roman" w:hAnsi="Arial" w:cs="Arial"/>
          <w:b/>
          <w:bCs/>
          <w:color w:val="303030"/>
          <w:sz w:val="27"/>
          <w:szCs w:val="27"/>
        </w:rPr>
        <w:lastRenderedPageBreak/>
        <w:t>Notes and Resources</w:t>
      </w:r>
    </w:p>
    <w:p w:rsidR="00701485" w:rsidRPr="00701485" w:rsidRDefault="00701485" w:rsidP="00701485">
      <w:pPr>
        <w:shd w:val="clear" w:color="auto" w:fill="FFFFFF"/>
        <w:spacing w:after="0" w:line="240" w:lineRule="auto"/>
        <w:rPr>
          <w:rFonts w:ascii="Arial" w:eastAsia="Times New Roman" w:hAnsi="Arial" w:cs="Arial"/>
          <w:color w:val="303030"/>
          <w:sz w:val="20"/>
          <w:szCs w:val="20"/>
        </w:rPr>
      </w:pPr>
      <w:r w:rsidRPr="00701485">
        <w:rPr>
          <w:rFonts w:ascii="Arial" w:eastAsia="Times New Roman" w:hAnsi="Arial" w:cs="Arial"/>
          <w:color w:val="303030"/>
          <w:sz w:val="20"/>
          <w:szCs w:val="20"/>
        </w:rPr>
        <w:t>[1] “Remarks by the President on Economic Mobility.” The White House. December 4, 2013. Available from</w:t>
      </w:r>
      <w:hyperlink r:id="rId23" w:history="1">
        <w:r w:rsidRPr="00701485">
          <w:rPr>
            <w:rFonts w:ascii="Arial" w:eastAsia="Times New Roman" w:hAnsi="Arial" w:cs="Arial"/>
            <w:color w:val="1A90B4"/>
            <w:sz w:val="20"/>
            <w:szCs w:val="20"/>
            <w:u w:val="single"/>
          </w:rPr>
          <w:t>http://www.whitehouse.gov/the-press-office/2013/12/04/remarks-president-...</w:t>
        </w:r>
      </w:hyperlink>
      <w:r w:rsidRPr="00701485">
        <w:rPr>
          <w:rFonts w:ascii="Arial" w:eastAsia="Times New Roman" w:hAnsi="Arial" w:cs="Arial"/>
          <w:color w:val="303030"/>
          <w:sz w:val="20"/>
          <w:szCs w:val="20"/>
        </w:rPr>
        <w:t> </w:t>
      </w:r>
    </w:p>
    <w:p w:rsidR="00701485" w:rsidRPr="00701485" w:rsidRDefault="00701485" w:rsidP="00701485">
      <w:pPr>
        <w:shd w:val="clear" w:color="auto" w:fill="FFFFFF"/>
        <w:spacing w:after="0" w:line="240" w:lineRule="auto"/>
        <w:rPr>
          <w:rFonts w:ascii="Arial" w:eastAsia="Times New Roman" w:hAnsi="Arial" w:cs="Arial"/>
          <w:color w:val="303030"/>
          <w:sz w:val="20"/>
          <w:szCs w:val="20"/>
        </w:rPr>
      </w:pPr>
      <w:r w:rsidRPr="00701485">
        <w:rPr>
          <w:rFonts w:ascii="Arial" w:eastAsia="Times New Roman" w:hAnsi="Arial" w:cs="Arial"/>
          <w:color w:val="303030"/>
          <w:sz w:val="20"/>
          <w:szCs w:val="20"/>
        </w:rPr>
        <w:t> </w:t>
      </w:r>
    </w:p>
    <w:p w:rsidR="00701485" w:rsidRPr="00701485" w:rsidRDefault="00701485" w:rsidP="00701485">
      <w:pPr>
        <w:shd w:val="clear" w:color="auto" w:fill="FFFFFF"/>
        <w:spacing w:after="0" w:line="240" w:lineRule="auto"/>
        <w:rPr>
          <w:rFonts w:ascii="Arial" w:eastAsia="Times New Roman" w:hAnsi="Arial" w:cs="Arial"/>
          <w:color w:val="303030"/>
          <w:sz w:val="20"/>
          <w:szCs w:val="20"/>
        </w:rPr>
      </w:pPr>
      <w:r w:rsidRPr="00701485">
        <w:rPr>
          <w:rFonts w:ascii="Arial" w:eastAsia="Times New Roman" w:hAnsi="Arial" w:cs="Arial"/>
          <w:color w:val="303030"/>
          <w:sz w:val="20"/>
          <w:szCs w:val="20"/>
        </w:rPr>
        <w:t>[2] “Income Inequality.” IncomeInequality.org – A Project of the Institute for Policy Studies. Available from</w:t>
      </w:r>
      <w:hyperlink r:id="rId24" w:history="1">
        <w:r w:rsidRPr="00701485">
          <w:rPr>
            <w:rFonts w:ascii="Arial" w:eastAsia="Times New Roman" w:hAnsi="Arial" w:cs="Arial"/>
            <w:color w:val="1A90B4"/>
            <w:sz w:val="20"/>
            <w:szCs w:val="20"/>
            <w:u w:val="single"/>
          </w:rPr>
          <w:t>http://inequality.org/income-inequality/</w:t>
        </w:r>
      </w:hyperlink>
      <w:r w:rsidRPr="00701485">
        <w:rPr>
          <w:rFonts w:ascii="Arial" w:eastAsia="Times New Roman" w:hAnsi="Arial" w:cs="Arial"/>
          <w:color w:val="303030"/>
          <w:sz w:val="20"/>
          <w:szCs w:val="20"/>
        </w:rPr>
        <w:t> </w:t>
      </w:r>
    </w:p>
    <w:p w:rsidR="00701485" w:rsidRPr="00701485" w:rsidRDefault="00701485" w:rsidP="00701485">
      <w:pPr>
        <w:shd w:val="clear" w:color="auto" w:fill="FFFFFF"/>
        <w:spacing w:after="0" w:line="240" w:lineRule="auto"/>
        <w:rPr>
          <w:rFonts w:ascii="Arial" w:eastAsia="Times New Roman" w:hAnsi="Arial" w:cs="Arial"/>
          <w:color w:val="303030"/>
          <w:sz w:val="20"/>
          <w:szCs w:val="20"/>
        </w:rPr>
      </w:pPr>
      <w:r w:rsidRPr="00701485">
        <w:rPr>
          <w:rFonts w:ascii="Arial" w:eastAsia="Times New Roman" w:hAnsi="Arial" w:cs="Arial"/>
          <w:color w:val="303030"/>
          <w:sz w:val="20"/>
          <w:szCs w:val="20"/>
        </w:rPr>
        <w:t> </w:t>
      </w:r>
    </w:p>
    <w:p w:rsidR="00701485" w:rsidRPr="00701485" w:rsidRDefault="00701485" w:rsidP="00701485">
      <w:pPr>
        <w:shd w:val="clear" w:color="auto" w:fill="FFFFFF"/>
        <w:spacing w:after="0" w:line="240" w:lineRule="auto"/>
        <w:rPr>
          <w:rFonts w:ascii="Arial" w:eastAsia="Times New Roman" w:hAnsi="Arial" w:cs="Arial"/>
          <w:color w:val="303030"/>
          <w:sz w:val="20"/>
          <w:szCs w:val="20"/>
        </w:rPr>
      </w:pPr>
      <w:r w:rsidRPr="00701485">
        <w:rPr>
          <w:rFonts w:ascii="Arial" w:eastAsia="Times New Roman" w:hAnsi="Arial" w:cs="Arial"/>
          <w:color w:val="303030"/>
          <w:sz w:val="20"/>
          <w:szCs w:val="20"/>
        </w:rPr>
        <w:t xml:space="preserve">[3] “Technology and Inequality.” David </w:t>
      </w:r>
      <w:proofErr w:type="spellStart"/>
      <w:r w:rsidRPr="00701485">
        <w:rPr>
          <w:rFonts w:ascii="Arial" w:eastAsia="Times New Roman" w:hAnsi="Arial" w:cs="Arial"/>
          <w:color w:val="303030"/>
          <w:sz w:val="20"/>
          <w:szCs w:val="20"/>
        </w:rPr>
        <w:t>Rotman</w:t>
      </w:r>
      <w:proofErr w:type="spellEnd"/>
      <w:r w:rsidRPr="00701485">
        <w:rPr>
          <w:rFonts w:ascii="Arial" w:eastAsia="Times New Roman" w:hAnsi="Arial" w:cs="Arial"/>
          <w:color w:val="303030"/>
          <w:sz w:val="20"/>
          <w:szCs w:val="20"/>
        </w:rPr>
        <w:t>. </w:t>
      </w:r>
      <w:r w:rsidRPr="00701485">
        <w:rPr>
          <w:rFonts w:ascii="Arial" w:eastAsia="Times New Roman" w:hAnsi="Arial" w:cs="Arial"/>
          <w:i/>
          <w:iCs/>
          <w:color w:val="303030"/>
          <w:sz w:val="20"/>
          <w:szCs w:val="20"/>
        </w:rPr>
        <w:t>MIT Technology Review</w:t>
      </w:r>
      <w:r w:rsidRPr="00701485">
        <w:rPr>
          <w:rFonts w:ascii="Arial" w:eastAsia="Times New Roman" w:hAnsi="Arial" w:cs="Arial"/>
          <w:color w:val="303030"/>
          <w:sz w:val="20"/>
          <w:szCs w:val="20"/>
        </w:rPr>
        <w:t>. October 21, 2014. Available from</w:t>
      </w:r>
      <w:hyperlink r:id="rId25" w:history="1">
        <w:r w:rsidRPr="00701485">
          <w:rPr>
            <w:rFonts w:ascii="Arial" w:eastAsia="Times New Roman" w:hAnsi="Arial" w:cs="Arial"/>
            <w:color w:val="1A90B4"/>
            <w:sz w:val="20"/>
            <w:szCs w:val="20"/>
            <w:u w:val="single"/>
          </w:rPr>
          <w:t>http://www.technologyreview.com/featuredstory/531726/technology-and-ineq...</w:t>
        </w:r>
      </w:hyperlink>
    </w:p>
    <w:p w:rsidR="00701485" w:rsidRPr="00701485" w:rsidRDefault="00701485" w:rsidP="00701485">
      <w:pPr>
        <w:shd w:val="clear" w:color="auto" w:fill="FFFFFF"/>
        <w:spacing w:after="0" w:line="240" w:lineRule="auto"/>
        <w:rPr>
          <w:rFonts w:ascii="Arial" w:eastAsia="Times New Roman" w:hAnsi="Arial" w:cs="Arial"/>
          <w:color w:val="303030"/>
          <w:sz w:val="20"/>
          <w:szCs w:val="20"/>
        </w:rPr>
      </w:pPr>
      <w:r w:rsidRPr="00701485">
        <w:rPr>
          <w:rFonts w:ascii="Arial" w:eastAsia="Times New Roman" w:hAnsi="Arial" w:cs="Arial"/>
          <w:color w:val="303030"/>
          <w:sz w:val="20"/>
          <w:szCs w:val="20"/>
        </w:rPr>
        <w:t> </w:t>
      </w:r>
    </w:p>
    <w:p w:rsidR="00701485" w:rsidRPr="00701485" w:rsidRDefault="00701485" w:rsidP="00701485">
      <w:pPr>
        <w:shd w:val="clear" w:color="auto" w:fill="FFFFFF"/>
        <w:spacing w:after="0" w:line="240" w:lineRule="auto"/>
        <w:rPr>
          <w:rFonts w:ascii="Arial" w:eastAsia="Times New Roman" w:hAnsi="Arial" w:cs="Arial"/>
          <w:color w:val="303030"/>
          <w:sz w:val="20"/>
          <w:szCs w:val="20"/>
        </w:rPr>
      </w:pPr>
      <w:r w:rsidRPr="00701485">
        <w:rPr>
          <w:rFonts w:ascii="Arial" w:eastAsia="Times New Roman" w:hAnsi="Arial" w:cs="Arial"/>
          <w:color w:val="303030"/>
          <w:sz w:val="20"/>
          <w:szCs w:val="20"/>
        </w:rPr>
        <w:t xml:space="preserve">[4] “The Unequal State of America: A Reuters Series – The Decline of the ‘Great Equalizer.’” David Rohde, Kristina Cooke, and </w:t>
      </w:r>
      <w:proofErr w:type="spellStart"/>
      <w:r w:rsidRPr="00701485">
        <w:rPr>
          <w:rFonts w:ascii="Arial" w:eastAsia="Times New Roman" w:hAnsi="Arial" w:cs="Arial"/>
          <w:color w:val="303030"/>
          <w:sz w:val="20"/>
          <w:szCs w:val="20"/>
        </w:rPr>
        <w:t>Himanshu</w:t>
      </w:r>
      <w:proofErr w:type="spellEnd"/>
      <w:r w:rsidRPr="00701485">
        <w:rPr>
          <w:rFonts w:ascii="Arial" w:eastAsia="Times New Roman" w:hAnsi="Arial" w:cs="Arial"/>
          <w:color w:val="303030"/>
          <w:sz w:val="20"/>
          <w:szCs w:val="20"/>
        </w:rPr>
        <w:t xml:space="preserve"> </w:t>
      </w:r>
      <w:proofErr w:type="spellStart"/>
      <w:r w:rsidRPr="00701485">
        <w:rPr>
          <w:rFonts w:ascii="Arial" w:eastAsia="Times New Roman" w:hAnsi="Arial" w:cs="Arial"/>
          <w:color w:val="303030"/>
          <w:sz w:val="20"/>
          <w:szCs w:val="20"/>
        </w:rPr>
        <w:t>Ojha</w:t>
      </w:r>
      <w:proofErr w:type="spellEnd"/>
      <w:r w:rsidRPr="00701485">
        <w:rPr>
          <w:rFonts w:ascii="Arial" w:eastAsia="Times New Roman" w:hAnsi="Arial" w:cs="Arial"/>
          <w:color w:val="303030"/>
          <w:sz w:val="20"/>
          <w:szCs w:val="20"/>
        </w:rPr>
        <w:t>. Reuters. December 19, 2012. Available from</w:t>
      </w:r>
    </w:p>
    <w:p w:rsidR="00701485" w:rsidRPr="00701485" w:rsidRDefault="00E10E6C" w:rsidP="00701485">
      <w:pPr>
        <w:shd w:val="clear" w:color="auto" w:fill="FFFFFF"/>
        <w:spacing w:after="0" w:line="240" w:lineRule="auto"/>
        <w:rPr>
          <w:rFonts w:ascii="Arial" w:eastAsia="Times New Roman" w:hAnsi="Arial" w:cs="Arial"/>
          <w:color w:val="303030"/>
          <w:sz w:val="20"/>
          <w:szCs w:val="20"/>
        </w:rPr>
      </w:pPr>
      <w:hyperlink r:id="rId26" w:history="1">
        <w:r w:rsidR="00701485" w:rsidRPr="00701485">
          <w:rPr>
            <w:rFonts w:ascii="Arial" w:eastAsia="Times New Roman" w:hAnsi="Arial" w:cs="Arial"/>
            <w:color w:val="1A90B4"/>
            <w:sz w:val="20"/>
            <w:szCs w:val="20"/>
            <w:u w:val="single"/>
          </w:rPr>
          <w:t>http://www.reuters.com/subjects/income-inequality/massachusetts</w:t>
        </w:r>
      </w:hyperlink>
    </w:p>
    <w:p w:rsidR="00701485" w:rsidRPr="00701485" w:rsidRDefault="00701485" w:rsidP="00701485">
      <w:pPr>
        <w:shd w:val="clear" w:color="auto" w:fill="FFFFFF"/>
        <w:spacing w:after="0" w:line="240" w:lineRule="auto"/>
        <w:rPr>
          <w:rFonts w:ascii="Arial" w:eastAsia="Times New Roman" w:hAnsi="Arial" w:cs="Arial"/>
          <w:color w:val="303030"/>
          <w:sz w:val="20"/>
          <w:szCs w:val="20"/>
        </w:rPr>
      </w:pPr>
      <w:r w:rsidRPr="00701485">
        <w:rPr>
          <w:rFonts w:ascii="Arial" w:eastAsia="Times New Roman" w:hAnsi="Arial" w:cs="Arial"/>
          <w:color w:val="303030"/>
          <w:sz w:val="20"/>
          <w:szCs w:val="20"/>
        </w:rPr>
        <w:t> </w:t>
      </w:r>
    </w:p>
    <w:p w:rsidR="00701485" w:rsidRPr="00701485" w:rsidRDefault="00701485" w:rsidP="00701485">
      <w:pPr>
        <w:shd w:val="clear" w:color="auto" w:fill="FFFFFF"/>
        <w:spacing w:after="0" w:line="240" w:lineRule="auto"/>
        <w:rPr>
          <w:rFonts w:ascii="Arial" w:eastAsia="Times New Roman" w:hAnsi="Arial" w:cs="Arial"/>
          <w:color w:val="303030"/>
          <w:sz w:val="20"/>
          <w:szCs w:val="20"/>
        </w:rPr>
      </w:pPr>
      <w:r w:rsidRPr="00701485">
        <w:rPr>
          <w:rFonts w:ascii="Arial" w:eastAsia="Times New Roman" w:hAnsi="Arial" w:cs="Arial"/>
          <w:color w:val="303030"/>
          <w:sz w:val="20"/>
          <w:szCs w:val="20"/>
        </w:rPr>
        <w:t>[5] “The Growing Economic Clout of the College Educated.” Richard Fry. Pew Research Center Fact Tank. September 24, 2013. Available from</w:t>
      </w:r>
    </w:p>
    <w:p w:rsidR="00701485" w:rsidRPr="00701485" w:rsidRDefault="00E10E6C" w:rsidP="00701485">
      <w:pPr>
        <w:shd w:val="clear" w:color="auto" w:fill="FFFFFF"/>
        <w:spacing w:after="0" w:line="240" w:lineRule="auto"/>
        <w:rPr>
          <w:rFonts w:ascii="Arial" w:eastAsia="Times New Roman" w:hAnsi="Arial" w:cs="Arial"/>
          <w:color w:val="303030"/>
          <w:sz w:val="20"/>
          <w:szCs w:val="20"/>
        </w:rPr>
      </w:pPr>
      <w:hyperlink r:id="rId27" w:history="1">
        <w:r w:rsidR="00701485" w:rsidRPr="00701485">
          <w:rPr>
            <w:rFonts w:ascii="Arial" w:eastAsia="Times New Roman" w:hAnsi="Arial" w:cs="Arial"/>
            <w:color w:val="1A90B4"/>
            <w:sz w:val="20"/>
            <w:szCs w:val="20"/>
            <w:u w:val="single"/>
          </w:rPr>
          <w:t>http://www.pewresearch.org/fact-tank/2013/09/24/the-growing-economic-clo...</w:t>
        </w:r>
      </w:hyperlink>
    </w:p>
    <w:p w:rsidR="00701485" w:rsidRPr="00701485" w:rsidRDefault="00701485" w:rsidP="00701485">
      <w:pPr>
        <w:shd w:val="clear" w:color="auto" w:fill="FFFFFF"/>
        <w:spacing w:after="0" w:line="240" w:lineRule="auto"/>
        <w:rPr>
          <w:rFonts w:ascii="Arial" w:eastAsia="Times New Roman" w:hAnsi="Arial" w:cs="Arial"/>
          <w:color w:val="303030"/>
          <w:sz w:val="20"/>
          <w:szCs w:val="20"/>
        </w:rPr>
      </w:pPr>
      <w:r w:rsidRPr="00701485">
        <w:rPr>
          <w:rFonts w:ascii="Arial" w:eastAsia="Times New Roman" w:hAnsi="Arial" w:cs="Arial"/>
          <w:color w:val="303030"/>
          <w:sz w:val="20"/>
          <w:szCs w:val="20"/>
        </w:rPr>
        <w:t> </w:t>
      </w:r>
    </w:p>
    <w:p w:rsidR="00701485" w:rsidRPr="00701485" w:rsidRDefault="00701485" w:rsidP="00701485">
      <w:pPr>
        <w:shd w:val="clear" w:color="auto" w:fill="FFFFFF"/>
        <w:spacing w:after="0" w:line="240" w:lineRule="auto"/>
        <w:rPr>
          <w:rFonts w:ascii="Arial" w:eastAsia="Times New Roman" w:hAnsi="Arial" w:cs="Arial"/>
          <w:color w:val="303030"/>
          <w:sz w:val="20"/>
          <w:szCs w:val="20"/>
        </w:rPr>
      </w:pPr>
      <w:r w:rsidRPr="00701485">
        <w:rPr>
          <w:rFonts w:ascii="Arial" w:eastAsia="Times New Roman" w:hAnsi="Arial" w:cs="Arial"/>
          <w:color w:val="303030"/>
          <w:sz w:val="20"/>
          <w:szCs w:val="20"/>
        </w:rPr>
        <w:t xml:space="preserve">[6] “The Unequal State of America: A Reuters Series – The Decline of the ‘Great Equalizer.’” David Rohde, Kristina Cooke, and </w:t>
      </w:r>
      <w:proofErr w:type="spellStart"/>
      <w:r w:rsidRPr="00701485">
        <w:rPr>
          <w:rFonts w:ascii="Arial" w:eastAsia="Times New Roman" w:hAnsi="Arial" w:cs="Arial"/>
          <w:color w:val="303030"/>
          <w:sz w:val="20"/>
          <w:szCs w:val="20"/>
        </w:rPr>
        <w:t>Himanshu</w:t>
      </w:r>
      <w:proofErr w:type="spellEnd"/>
      <w:r w:rsidRPr="00701485">
        <w:rPr>
          <w:rFonts w:ascii="Arial" w:eastAsia="Times New Roman" w:hAnsi="Arial" w:cs="Arial"/>
          <w:color w:val="303030"/>
          <w:sz w:val="20"/>
          <w:szCs w:val="20"/>
        </w:rPr>
        <w:t xml:space="preserve"> </w:t>
      </w:r>
      <w:proofErr w:type="spellStart"/>
      <w:r w:rsidRPr="00701485">
        <w:rPr>
          <w:rFonts w:ascii="Arial" w:eastAsia="Times New Roman" w:hAnsi="Arial" w:cs="Arial"/>
          <w:color w:val="303030"/>
          <w:sz w:val="20"/>
          <w:szCs w:val="20"/>
        </w:rPr>
        <w:t>Ojha</w:t>
      </w:r>
      <w:proofErr w:type="spellEnd"/>
      <w:r w:rsidRPr="00701485">
        <w:rPr>
          <w:rFonts w:ascii="Arial" w:eastAsia="Times New Roman" w:hAnsi="Arial" w:cs="Arial"/>
          <w:color w:val="303030"/>
          <w:sz w:val="20"/>
          <w:szCs w:val="20"/>
        </w:rPr>
        <w:t>. Reuters. December 19, 2012. Available from</w:t>
      </w:r>
    </w:p>
    <w:p w:rsidR="00701485" w:rsidRPr="00701485" w:rsidRDefault="00E10E6C" w:rsidP="00701485">
      <w:pPr>
        <w:shd w:val="clear" w:color="auto" w:fill="FFFFFF"/>
        <w:spacing w:after="0" w:line="240" w:lineRule="auto"/>
        <w:rPr>
          <w:rFonts w:ascii="Arial" w:eastAsia="Times New Roman" w:hAnsi="Arial" w:cs="Arial"/>
          <w:color w:val="303030"/>
          <w:sz w:val="20"/>
          <w:szCs w:val="20"/>
        </w:rPr>
      </w:pPr>
      <w:hyperlink r:id="rId28" w:history="1">
        <w:r w:rsidR="00701485" w:rsidRPr="00701485">
          <w:rPr>
            <w:rFonts w:ascii="Arial" w:eastAsia="Times New Roman" w:hAnsi="Arial" w:cs="Arial"/>
            <w:color w:val="1A90B4"/>
            <w:sz w:val="20"/>
            <w:szCs w:val="20"/>
            <w:u w:val="single"/>
          </w:rPr>
          <w:t>http://www.reuters.com/subjects/income-inequality/massachusetts</w:t>
        </w:r>
      </w:hyperlink>
    </w:p>
    <w:p w:rsidR="00701485" w:rsidRPr="00701485" w:rsidRDefault="00701485" w:rsidP="00701485">
      <w:pPr>
        <w:shd w:val="clear" w:color="auto" w:fill="FFFFFF"/>
        <w:spacing w:after="0" w:line="240" w:lineRule="auto"/>
        <w:rPr>
          <w:rFonts w:ascii="Arial" w:eastAsia="Times New Roman" w:hAnsi="Arial" w:cs="Arial"/>
          <w:color w:val="303030"/>
          <w:sz w:val="20"/>
          <w:szCs w:val="20"/>
        </w:rPr>
      </w:pPr>
      <w:r w:rsidRPr="00701485">
        <w:rPr>
          <w:rFonts w:ascii="Arial" w:eastAsia="Times New Roman" w:hAnsi="Arial" w:cs="Arial"/>
          <w:color w:val="303030"/>
          <w:sz w:val="20"/>
          <w:szCs w:val="20"/>
        </w:rPr>
        <w:t> </w:t>
      </w:r>
    </w:p>
    <w:p w:rsidR="00701485" w:rsidRPr="00701485" w:rsidRDefault="00701485" w:rsidP="00701485">
      <w:pPr>
        <w:shd w:val="clear" w:color="auto" w:fill="FFFFFF"/>
        <w:spacing w:after="0" w:line="240" w:lineRule="auto"/>
        <w:rPr>
          <w:rFonts w:ascii="Arial" w:eastAsia="Times New Roman" w:hAnsi="Arial" w:cs="Arial"/>
          <w:color w:val="303030"/>
          <w:sz w:val="20"/>
          <w:szCs w:val="20"/>
        </w:rPr>
      </w:pPr>
      <w:r w:rsidRPr="00701485">
        <w:rPr>
          <w:rFonts w:ascii="Arial" w:eastAsia="Times New Roman" w:hAnsi="Arial" w:cs="Arial"/>
          <w:color w:val="303030"/>
          <w:sz w:val="20"/>
          <w:szCs w:val="20"/>
        </w:rPr>
        <w:t>[7] "This Calculator Will Tell You If A Robot Is Coming For Your Job." Adele Peters. </w:t>
      </w:r>
      <w:r w:rsidRPr="00701485">
        <w:rPr>
          <w:rFonts w:ascii="Arial" w:eastAsia="Times New Roman" w:hAnsi="Arial" w:cs="Arial"/>
          <w:i/>
          <w:iCs/>
          <w:color w:val="303030"/>
          <w:sz w:val="20"/>
          <w:szCs w:val="20"/>
        </w:rPr>
        <w:t>Fast Company</w:t>
      </w:r>
      <w:r w:rsidRPr="00701485">
        <w:rPr>
          <w:rFonts w:ascii="Arial" w:eastAsia="Times New Roman" w:hAnsi="Arial" w:cs="Arial"/>
          <w:color w:val="303030"/>
          <w:sz w:val="20"/>
          <w:szCs w:val="20"/>
        </w:rPr>
        <w:t>. June 12, 2015. Available from </w:t>
      </w:r>
      <w:hyperlink r:id="rId29" w:history="1">
        <w:r w:rsidRPr="00701485">
          <w:rPr>
            <w:rFonts w:ascii="Arial" w:eastAsia="Times New Roman" w:hAnsi="Arial" w:cs="Arial"/>
            <w:color w:val="1A90B4"/>
            <w:sz w:val="20"/>
            <w:szCs w:val="20"/>
            <w:u w:val="single"/>
          </w:rPr>
          <w:t>http://www.fastcoexist.com/3047269/this-calculator-will-tell-you-if-a-ro...</w:t>
        </w:r>
      </w:hyperlink>
    </w:p>
    <w:p w:rsidR="00701485" w:rsidRPr="00701485" w:rsidRDefault="00701485" w:rsidP="00701485">
      <w:pPr>
        <w:shd w:val="clear" w:color="auto" w:fill="FFFFFF"/>
        <w:spacing w:after="0" w:line="240" w:lineRule="auto"/>
        <w:rPr>
          <w:rFonts w:ascii="Arial" w:eastAsia="Times New Roman" w:hAnsi="Arial" w:cs="Arial"/>
          <w:color w:val="303030"/>
          <w:sz w:val="20"/>
          <w:szCs w:val="20"/>
        </w:rPr>
      </w:pPr>
      <w:r w:rsidRPr="00701485">
        <w:rPr>
          <w:rFonts w:ascii="Arial" w:eastAsia="Times New Roman" w:hAnsi="Arial" w:cs="Arial"/>
          <w:color w:val="303030"/>
          <w:sz w:val="20"/>
          <w:szCs w:val="20"/>
        </w:rPr>
        <w:t> </w:t>
      </w:r>
    </w:p>
    <w:p w:rsidR="00701485" w:rsidRPr="00701485" w:rsidRDefault="00701485" w:rsidP="00701485">
      <w:pPr>
        <w:shd w:val="clear" w:color="auto" w:fill="FFFFFF"/>
        <w:spacing w:after="0" w:line="240" w:lineRule="auto"/>
        <w:rPr>
          <w:rFonts w:ascii="Arial" w:eastAsia="Times New Roman" w:hAnsi="Arial" w:cs="Arial"/>
          <w:color w:val="303030"/>
          <w:sz w:val="20"/>
          <w:szCs w:val="20"/>
        </w:rPr>
      </w:pPr>
      <w:r w:rsidRPr="00701485">
        <w:rPr>
          <w:rFonts w:ascii="Arial" w:eastAsia="Times New Roman" w:hAnsi="Arial" w:cs="Arial"/>
          <w:color w:val="303030"/>
          <w:sz w:val="20"/>
          <w:szCs w:val="20"/>
        </w:rPr>
        <w:t xml:space="preserve">[8] “Technology and Inequality.” David </w:t>
      </w:r>
      <w:proofErr w:type="spellStart"/>
      <w:r w:rsidRPr="00701485">
        <w:rPr>
          <w:rFonts w:ascii="Arial" w:eastAsia="Times New Roman" w:hAnsi="Arial" w:cs="Arial"/>
          <w:color w:val="303030"/>
          <w:sz w:val="20"/>
          <w:szCs w:val="20"/>
        </w:rPr>
        <w:t>Rotman</w:t>
      </w:r>
      <w:proofErr w:type="spellEnd"/>
      <w:r w:rsidRPr="00701485">
        <w:rPr>
          <w:rFonts w:ascii="Arial" w:eastAsia="Times New Roman" w:hAnsi="Arial" w:cs="Arial"/>
          <w:color w:val="303030"/>
          <w:sz w:val="20"/>
          <w:szCs w:val="20"/>
        </w:rPr>
        <w:t>.</w:t>
      </w:r>
      <w:r w:rsidRPr="00701485">
        <w:rPr>
          <w:rFonts w:ascii="Arial" w:eastAsia="Times New Roman" w:hAnsi="Arial" w:cs="Arial"/>
          <w:i/>
          <w:iCs/>
          <w:color w:val="303030"/>
          <w:sz w:val="20"/>
          <w:szCs w:val="20"/>
        </w:rPr>
        <w:t> MIT Technology Review</w:t>
      </w:r>
      <w:r w:rsidRPr="00701485">
        <w:rPr>
          <w:rFonts w:ascii="Arial" w:eastAsia="Times New Roman" w:hAnsi="Arial" w:cs="Arial"/>
          <w:color w:val="303030"/>
          <w:sz w:val="20"/>
          <w:szCs w:val="20"/>
        </w:rPr>
        <w:t>. October 21, 2014. Available from</w:t>
      </w:r>
      <w:hyperlink r:id="rId30" w:history="1">
        <w:r w:rsidRPr="00701485">
          <w:rPr>
            <w:rFonts w:ascii="Arial" w:eastAsia="Times New Roman" w:hAnsi="Arial" w:cs="Arial"/>
            <w:color w:val="1A90B4"/>
            <w:sz w:val="20"/>
            <w:szCs w:val="20"/>
            <w:u w:val="single"/>
          </w:rPr>
          <w:t>http://www.technologyreview.com/featuredstory/531726/technology-and-ineq...</w:t>
        </w:r>
      </w:hyperlink>
    </w:p>
    <w:p w:rsidR="00701485" w:rsidRPr="00701485" w:rsidRDefault="00701485" w:rsidP="00701485">
      <w:pPr>
        <w:shd w:val="clear" w:color="auto" w:fill="FFFFFF"/>
        <w:spacing w:after="0" w:line="240" w:lineRule="auto"/>
        <w:rPr>
          <w:rFonts w:ascii="Arial" w:eastAsia="Times New Roman" w:hAnsi="Arial" w:cs="Arial"/>
          <w:color w:val="303030"/>
          <w:sz w:val="20"/>
          <w:szCs w:val="20"/>
        </w:rPr>
      </w:pPr>
      <w:r w:rsidRPr="00701485">
        <w:rPr>
          <w:rFonts w:ascii="Arial" w:eastAsia="Times New Roman" w:hAnsi="Arial" w:cs="Arial"/>
          <w:color w:val="303030"/>
          <w:sz w:val="20"/>
          <w:szCs w:val="20"/>
        </w:rPr>
        <w:t> </w:t>
      </w:r>
    </w:p>
    <w:p w:rsidR="00701485" w:rsidRPr="00701485" w:rsidRDefault="00701485" w:rsidP="00701485">
      <w:pPr>
        <w:shd w:val="clear" w:color="auto" w:fill="FFFFFF"/>
        <w:spacing w:after="0" w:line="240" w:lineRule="auto"/>
        <w:rPr>
          <w:rFonts w:ascii="Arial" w:eastAsia="Times New Roman" w:hAnsi="Arial" w:cs="Arial"/>
          <w:color w:val="303030"/>
          <w:sz w:val="20"/>
          <w:szCs w:val="20"/>
        </w:rPr>
      </w:pPr>
      <w:r w:rsidRPr="00701485">
        <w:rPr>
          <w:rFonts w:ascii="Arial" w:eastAsia="Times New Roman" w:hAnsi="Arial" w:cs="Arial"/>
          <w:color w:val="303030"/>
          <w:sz w:val="20"/>
          <w:szCs w:val="20"/>
        </w:rPr>
        <w:t xml:space="preserve">[9] “How Uber-Type Jobs Are Driving Inequality, And What To Do About It.” Lydia </w:t>
      </w:r>
      <w:proofErr w:type="spellStart"/>
      <w:r w:rsidRPr="00701485">
        <w:rPr>
          <w:rFonts w:ascii="Arial" w:eastAsia="Times New Roman" w:hAnsi="Arial" w:cs="Arial"/>
          <w:color w:val="303030"/>
          <w:sz w:val="20"/>
          <w:szCs w:val="20"/>
        </w:rPr>
        <w:t>DePillis</w:t>
      </w:r>
      <w:proofErr w:type="spellEnd"/>
      <w:r w:rsidRPr="00701485">
        <w:rPr>
          <w:rFonts w:ascii="Arial" w:eastAsia="Times New Roman" w:hAnsi="Arial" w:cs="Arial"/>
          <w:color w:val="303030"/>
          <w:sz w:val="20"/>
          <w:szCs w:val="20"/>
        </w:rPr>
        <w:t>. </w:t>
      </w:r>
      <w:r w:rsidRPr="00701485">
        <w:rPr>
          <w:rFonts w:ascii="Arial" w:eastAsia="Times New Roman" w:hAnsi="Arial" w:cs="Arial"/>
          <w:i/>
          <w:iCs/>
          <w:color w:val="303030"/>
          <w:sz w:val="20"/>
          <w:szCs w:val="20"/>
        </w:rPr>
        <w:t>The Washington Post</w:t>
      </w:r>
      <w:r w:rsidRPr="00701485">
        <w:rPr>
          <w:rFonts w:ascii="Arial" w:eastAsia="Times New Roman" w:hAnsi="Arial" w:cs="Arial"/>
          <w:color w:val="303030"/>
          <w:sz w:val="20"/>
          <w:szCs w:val="20"/>
        </w:rPr>
        <w:t>. May 21, 2015. Available from </w:t>
      </w:r>
      <w:hyperlink r:id="rId31" w:history="1">
        <w:r w:rsidRPr="00701485">
          <w:rPr>
            <w:rFonts w:ascii="Arial" w:eastAsia="Times New Roman" w:hAnsi="Arial" w:cs="Arial"/>
            <w:color w:val="1A90B4"/>
            <w:sz w:val="20"/>
            <w:szCs w:val="20"/>
            <w:u w:val="single"/>
          </w:rPr>
          <w:t>http://www.washingtonpost.com/blogs/wonkblog/wp/2015/05/21/how-uber-type...</w:t>
        </w:r>
      </w:hyperlink>
      <w:r w:rsidRPr="00701485">
        <w:rPr>
          <w:rFonts w:ascii="Arial" w:eastAsia="Times New Roman" w:hAnsi="Arial" w:cs="Arial"/>
          <w:color w:val="303030"/>
          <w:sz w:val="20"/>
          <w:szCs w:val="20"/>
        </w:rPr>
        <w:t> </w:t>
      </w:r>
    </w:p>
    <w:p w:rsidR="00701485" w:rsidRPr="00701485" w:rsidRDefault="00701485" w:rsidP="00701485">
      <w:pPr>
        <w:shd w:val="clear" w:color="auto" w:fill="FFFFFF"/>
        <w:spacing w:after="0" w:line="240" w:lineRule="auto"/>
        <w:rPr>
          <w:rFonts w:ascii="Arial" w:eastAsia="Times New Roman" w:hAnsi="Arial" w:cs="Arial"/>
          <w:color w:val="303030"/>
          <w:sz w:val="20"/>
          <w:szCs w:val="20"/>
        </w:rPr>
      </w:pPr>
      <w:r w:rsidRPr="00701485">
        <w:rPr>
          <w:rFonts w:ascii="Arial" w:eastAsia="Times New Roman" w:hAnsi="Arial" w:cs="Arial"/>
          <w:color w:val="303030"/>
          <w:sz w:val="20"/>
          <w:szCs w:val="20"/>
        </w:rPr>
        <w:t> </w:t>
      </w:r>
    </w:p>
    <w:p w:rsidR="00701485" w:rsidRPr="00701485" w:rsidRDefault="00701485" w:rsidP="00701485">
      <w:pPr>
        <w:shd w:val="clear" w:color="auto" w:fill="FFFFFF"/>
        <w:spacing w:after="0" w:line="240" w:lineRule="auto"/>
        <w:rPr>
          <w:rFonts w:ascii="Arial" w:eastAsia="Times New Roman" w:hAnsi="Arial" w:cs="Arial"/>
          <w:color w:val="303030"/>
          <w:sz w:val="20"/>
          <w:szCs w:val="20"/>
        </w:rPr>
      </w:pPr>
      <w:r w:rsidRPr="00701485">
        <w:rPr>
          <w:rFonts w:ascii="Arial" w:eastAsia="Times New Roman" w:hAnsi="Arial" w:cs="Arial"/>
          <w:color w:val="303030"/>
          <w:sz w:val="20"/>
          <w:szCs w:val="20"/>
        </w:rPr>
        <w:t xml:space="preserve">[10] “How Uber-Type Jobs Are Driving Inequality, And What To Do About It.” Lydia </w:t>
      </w:r>
      <w:proofErr w:type="spellStart"/>
      <w:r w:rsidRPr="00701485">
        <w:rPr>
          <w:rFonts w:ascii="Arial" w:eastAsia="Times New Roman" w:hAnsi="Arial" w:cs="Arial"/>
          <w:color w:val="303030"/>
          <w:sz w:val="20"/>
          <w:szCs w:val="20"/>
        </w:rPr>
        <w:t>DePillis</w:t>
      </w:r>
      <w:proofErr w:type="spellEnd"/>
      <w:r w:rsidRPr="00701485">
        <w:rPr>
          <w:rFonts w:ascii="Arial" w:eastAsia="Times New Roman" w:hAnsi="Arial" w:cs="Arial"/>
          <w:color w:val="303030"/>
          <w:sz w:val="20"/>
          <w:szCs w:val="20"/>
        </w:rPr>
        <w:t>. </w:t>
      </w:r>
      <w:r w:rsidRPr="00701485">
        <w:rPr>
          <w:rFonts w:ascii="Arial" w:eastAsia="Times New Roman" w:hAnsi="Arial" w:cs="Arial"/>
          <w:i/>
          <w:iCs/>
          <w:color w:val="303030"/>
          <w:sz w:val="20"/>
          <w:szCs w:val="20"/>
        </w:rPr>
        <w:t>The Washington Post</w:t>
      </w:r>
      <w:r w:rsidRPr="00701485">
        <w:rPr>
          <w:rFonts w:ascii="Arial" w:eastAsia="Times New Roman" w:hAnsi="Arial" w:cs="Arial"/>
          <w:color w:val="303030"/>
          <w:sz w:val="20"/>
          <w:szCs w:val="20"/>
        </w:rPr>
        <w:t>. May 21, 2015. Available from </w:t>
      </w:r>
      <w:hyperlink r:id="rId32" w:history="1">
        <w:r w:rsidRPr="00701485">
          <w:rPr>
            <w:rFonts w:ascii="Arial" w:eastAsia="Times New Roman" w:hAnsi="Arial" w:cs="Arial"/>
            <w:color w:val="1A90B4"/>
            <w:sz w:val="20"/>
            <w:szCs w:val="20"/>
            <w:u w:val="single"/>
          </w:rPr>
          <w:t>http://www.washingtonpost.com/blogs/wonkblog/wp/2015/05/21/how-uber-type...</w:t>
        </w:r>
      </w:hyperlink>
    </w:p>
    <w:p w:rsidR="00701485" w:rsidRPr="00701485" w:rsidRDefault="00701485" w:rsidP="00701485">
      <w:pPr>
        <w:shd w:val="clear" w:color="auto" w:fill="FFFFFF"/>
        <w:spacing w:after="0" w:line="240" w:lineRule="auto"/>
        <w:rPr>
          <w:rFonts w:ascii="Arial" w:eastAsia="Times New Roman" w:hAnsi="Arial" w:cs="Arial"/>
          <w:color w:val="303030"/>
          <w:sz w:val="20"/>
          <w:szCs w:val="20"/>
        </w:rPr>
      </w:pPr>
      <w:r w:rsidRPr="00701485">
        <w:rPr>
          <w:rFonts w:ascii="Arial" w:eastAsia="Times New Roman" w:hAnsi="Arial" w:cs="Arial"/>
          <w:color w:val="303030"/>
          <w:sz w:val="20"/>
          <w:szCs w:val="20"/>
        </w:rPr>
        <w:t> </w:t>
      </w:r>
    </w:p>
    <w:p w:rsidR="00701485" w:rsidRPr="00701485" w:rsidRDefault="00701485" w:rsidP="00701485">
      <w:pPr>
        <w:shd w:val="clear" w:color="auto" w:fill="FFFFFF"/>
        <w:spacing w:after="0" w:line="240" w:lineRule="auto"/>
        <w:rPr>
          <w:rFonts w:ascii="Arial" w:eastAsia="Times New Roman" w:hAnsi="Arial" w:cs="Arial"/>
          <w:color w:val="303030"/>
          <w:sz w:val="20"/>
          <w:szCs w:val="20"/>
        </w:rPr>
      </w:pPr>
      <w:r w:rsidRPr="00701485">
        <w:rPr>
          <w:rFonts w:ascii="Arial" w:eastAsia="Times New Roman" w:hAnsi="Arial" w:cs="Arial"/>
          <w:color w:val="303030"/>
          <w:sz w:val="20"/>
          <w:szCs w:val="20"/>
        </w:rPr>
        <w:t>[11] “The Unequal State of America: A Reuters Series – The Undeserving Poor.” Kristina Cooke, David Rohde, and Ryan McNeill. Reuters. December 20, 2012. Available from </w:t>
      </w:r>
      <w:hyperlink r:id="rId33" w:history="1">
        <w:r w:rsidRPr="00701485">
          <w:rPr>
            <w:rFonts w:ascii="Arial" w:eastAsia="Times New Roman" w:hAnsi="Arial" w:cs="Arial"/>
            <w:color w:val="1A90B4"/>
            <w:sz w:val="20"/>
            <w:szCs w:val="20"/>
            <w:u w:val="single"/>
          </w:rPr>
          <w:t>http://www.reuters.com/subjects/income-inequality/indiana</w:t>
        </w:r>
      </w:hyperlink>
    </w:p>
    <w:p w:rsidR="00701485" w:rsidRPr="00701485" w:rsidRDefault="00701485" w:rsidP="00701485">
      <w:pPr>
        <w:shd w:val="clear" w:color="auto" w:fill="FFFFFF"/>
        <w:spacing w:after="0" w:line="240" w:lineRule="auto"/>
        <w:rPr>
          <w:rFonts w:ascii="Arial" w:eastAsia="Times New Roman" w:hAnsi="Arial" w:cs="Arial"/>
          <w:color w:val="303030"/>
          <w:sz w:val="20"/>
          <w:szCs w:val="20"/>
        </w:rPr>
      </w:pPr>
      <w:r w:rsidRPr="00701485">
        <w:rPr>
          <w:rFonts w:ascii="Arial" w:eastAsia="Times New Roman" w:hAnsi="Arial" w:cs="Arial"/>
          <w:color w:val="303030"/>
          <w:sz w:val="20"/>
          <w:szCs w:val="20"/>
        </w:rPr>
        <w:t> </w:t>
      </w:r>
    </w:p>
    <w:p w:rsidR="00701485" w:rsidRPr="00701485" w:rsidRDefault="00701485" w:rsidP="00701485">
      <w:pPr>
        <w:shd w:val="clear" w:color="auto" w:fill="FFFFFF"/>
        <w:spacing w:after="0" w:line="240" w:lineRule="auto"/>
        <w:rPr>
          <w:rFonts w:ascii="Arial" w:eastAsia="Times New Roman" w:hAnsi="Arial" w:cs="Arial"/>
          <w:color w:val="303030"/>
          <w:sz w:val="20"/>
          <w:szCs w:val="20"/>
        </w:rPr>
      </w:pPr>
      <w:r w:rsidRPr="00701485">
        <w:rPr>
          <w:rFonts w:ascii="Arial" w:eastAsia="Times New Roman" w:hAnsi="Arial" w:cs="Arial"/>
          <w:color w:val="303030"/>
          <w:sz w:val="20"/>
          <w:szCs w:val="20"/>
        </w:rPr>
        <w:t>[12] "Four Charts That Show the Opportunity Gap Isn’t Going Away." Richard V. Reeves. </w:t>
      </w:r>
      <w:r w:rsidRPr="00701485">
        <w:rPr>
          <w:rFonts w:ascii="Arial" w:eastAsia="Times New Roman" w:hAnsi="Arial" w:cs="Arial"/>
          <w:i/>
          <w:iCs/>
          <w:color w:val="303030"/>
          <w:sz w:val="20"/>
          <w:szCs w:val="20"/>
        </w:rPr>
        <w:t>The Wall Street Journal</w:t>
      </w:r>
      <w:r w:rsidRPr="00701485">
        <w:rPr>
          <w:rFonts w:ascii="Arial" w:eastAsia="Times New Roman" w:hAnsi="Arial" w:cs="Arial"/>
          <w:color w:val="303030"/>
          <w:sz w:val="20"/>
          <w:szCs w:val="20"/>
        </w:rPr>
        <w:t>. July 21, 2015. Available from </w:t>
      </w:r>
      <w:hyperlink r:id="rId34" w:history="1">
        <w:r w:rsidRPr="00701485">
          <w:rPr>
            <w:rFonts w:ascii="Arial" w:eastAsia="Times New Roman" w:hAnsi="Arial" w:cs="Arial"/>
            <w:color w:val="1A90B4"/>
            <w:sz w:val="20"/>
            <w:szCs w:val="20"/>
            <w:u w:val="single"/>
          </w:rPr>
          <w:t>http://blogs.wsj.com/washwire/2015/07/21/four-charts-that-show-the-oppor...</w:t>
        </w:r>
      </w:hyperlink>
    </w:p>
    <w:p w:rsidR="00701485" w:rsidRPr="00701485" w:rsidRDefault="00701485" w:rsidP="00701485">
      <w:pPr>
        <w:shd w:val="clear" w:color="auto" w:fill="FFFFFF"/>
        <w:spacing w:after="0" w:line="240" w:lineRule="auto"/>
        <w:rPr>
          <w:rFonts w:ascii="Arial" w:eastAsia="Times New Roman" w:hAnsi="Arial" w:cs="Arial"/>
          <w:color w:val="303030"/>
          <w:sz w:val="20"/>
          <w:szCs w:val="20"/>
        </w:rPr>
      </w:pPr>
      <w:r w:rsidRPr="00701485">
        <w:rPr>
          <w:rFonts w:ascii="Arial" w:eastAsia="Times New Roman" w:hAnsi="Arial" w:cs="Arial"/>
          <w:color w:val="303030"/>
          <w:sz w:val="20"/>
          <w:szCs w:val="20"/>
        </w:rPr>
        <w:t> </w:t>
      </w:r>
    </w:p>
    <w:p w:rsidR="00701485" w:rsidRPr="00701485" w:rsidRDefault="00701485" w:rsidP="00701485">
      <w:pPr>
        <w:shd w:val="clear" w:color="auto" w:fill="FFFFFF"/>
        <w:spacing w:after="0" w:line="240" w:lineRule="auto"/>
        <w:rPr>
          <w:rFonts w:ascii="Arial" w:eastAsia="Times New Roman" w:hAnsi="Arial" w:cs="Arial"/>
          <w:color w:val="303030"/>
          <w:sz w:val="20"/>
          <w:szCs w:val="20"/>
        </w:rPr>
      </w:pPr>
      <w:r w:rsidRPr="00701485">
        <w:rPr>
          <w:rFonts w:ascii="Arial" w:eastAsia="Times New Roman" w:hAnsi="Arial" w:cs="Arial"/>
          <w:color w:val="303030"/>
          <w:sz w:val="20"/>
          <w:szCs w:val="20"/>
        </w:rPr>
        <w:t xml:space="preserve">[13] “Technology and Inequality.” David </w:t>
      </w:r>
      <w:proofErr w:type="spellStart"/>
      <w:r w:rsidRPr="00701485">
        <w:rPr>
          <w:rFonts w:ascii="Arial" w:eastAsia="Times New Roman" w:hAnsi="Arial" w:cs="Arial"/>
          <w:color w:val="303030"/>
          <w:sz w:val="20"/>
          <w:szCs w:val="20"/>
        </w:rPr>
        <w:t>Rotman</w:t>
      </w:r>
      <w:proofErr w:type="spellEnd"/>
      <w:r w:rsidRPr="00701485">
        <w:rPr>
          <w:rFonts w:ascii="Arial" w:eastAsia="Times New Roman" w:hAnsi="Arial" w:cs="Arial"/>
          <w:color w:val="303030"/>
          <w:sz w:val="20"/>
          <w:szCs w:val="20"/>
        </w:rPr>
        <w:t>. </w:t>
      </w:r>
      <w:r w:rsidRPr="00701485">
        <w:rPr>
          <w:rFonts w:ascii="Arial" w:eastAsia="Times New Roman" w:hAnsi="Arial" w:cs="Arial"/>
          <w:i/>
          <w:iCs/>
          <w:color w:val="303030"/>
          <w:sz w:val="20"/>
          <w:szCs w:val="20"/>
        </w:rPr>
        <w:t>MIT Technology Review</w:t>
      </w:r>
      <w:r w:rsidRPr="00701485">
        <w:rPr>
          <w:rFonts w:ascii="Arial" w:eastAsia="Times New Roman" w:hAnsi="Arial" w:cs="Arial"/>
          <w:color w:val="303030"/>
          <w:sz w:val="20"/>
          <w:szCs w:val="20"/>
        </w:rPr>
        <w:t>. October 21, 2014. Available from</w:t>
      </w:r>
      <w:hyperlink r:id="rId35" w:history="1">
        <w:r w:rsidRPr="00701485">
          <w:rPr>
            <w:rFonts w:ascii="Arial" w:eastAsia="Times New Roman" w:hAnsi="Arial" w:cs="Arial"/>
            <w:color w:val="1A90B4"/>
            <w:sz w:val="20"/>
            <w:szCs w:val="20"/>
            <w:u w:val="single"/>
          </w:rPr>
          <w:t>http://www.technologyreview.com/featuredstory/531726/technology-and-ineq...</w:t>
        </w:r>
      </w:hyperlink>
    </w:p>
    <w:p w:rsidR="00701485" w:rsidRPr="00701485" w:rsidRDefault="00701485" w:rsidP="00701485">
      <w:pPr>
        <w:shd w:val="clear" w:color="auto" w:fill="FFFFFF"/>
        <w:spacing w:after="0" w:line="240" w:lineRule="auto"/>
        <w:rPr>
          <w:rFonts w:ascii="Arial" w:eastAsia="Times New Roman" w:hAnsi="Arial" w:cs="Arial"/>
          <w:color w:val="303030"/>
          <w:sz w:val="20"/>
          <w:szCs w:val="20"/>
        </w:rPr>
      </w:pPr>
      <w:r w:rsidRPr="00701485">
        <w:rPr>
          <w:rFonts w:ascii="Arial" w:eastAsia="Times New Roman" w:hAnsi="Arial" w:cs="Arial"/>
          <w:color w:val="303030"/>
          <w:sz w:val="20"/>
          <w:szCs w:val="20"/>
        </w:rPr>
        <w:t> </w:t>
      </w:r>
    </w:p>
    <w:p w:rsidR="00701485" w:rsidRPr="00701485" w:rsidRDefault="00701485" w:rsidP="00701485">
      <w:pPr>
        <w:shd w:val="clear" w:color="auto" w:fill="FFFFFF"/>
        <w:spacing w:after="0" w:line="240" w:lineRule="auto"/>
        <w:rPr>
          <w:rFonts w:ascii="Arial" w:eastAsia="Times New Roman" w:hAnsi="Arial" w:cs="Arial"/>
          <w:color w:val="303030"/>
          <w:sz w:val="20"/>
          <w:szCs w:val="20"/>
        </w:rPr>
      </w:pPr>
      <w:r w:rsidRPr="00701485">
        <w:rPr>
          <w:rFonts w:ascii="Arial" w:eastAsia="Times New Roman" w:hAnsi="Arial" w:cs="Arial"/>
          <w:color w:val="303030"/>
          <w:sz w:val="20"/>
          <w:szCs w:val="20"/>
        </w:rPr>
        <w:t xml:space="preserve">[14] “The Unequal State of America: A Reuters Series – The Decline of the ‘Great Equalizer.’” David Rohde, Kristina Cooke, and </w:t>
      </w:r>
      <w:proofErr w:type="spellStart"/>
      <w:r w:rsidRPr="00701485">
        <w:rPr>
          <w:rFonts w:ascii="Arial" w:eastAsia="Times New Roman" w:hAnsi="Arial" w:cs="Arial"/>
          <w:color w:val="303030"/>
          <w:sz w:val="20"/>
          <w:szCs w:val="20"/>
        </w:rPr>
        <w:t>Himanshu</w:t>
      </w:r>
      <w:proofErr w:type="spellEnd"/>
      <w:r w:rsidRPr="00701485">
        <w:rPr>
          <w:rFonts w:ascii="Arial" w:eastAsia="Times New Roman" w:hAnsi="Arial" w:cs="Arial"/>
          <w:color w:val="303030"/>
          <w:sz w:val="20"/>
          <w:szCs w:val="20"/>
        </w:rPr>
        <w:t xml:space="preserve"> </w:t>
      </w:r>
      <w:proofErr w:type="spellStart"/>
      <w:r w:rsidRPr="00701485">
        <w:rPr>
          <w:rFonts w:ascii="Arial" w:eastAsia="Times New Roman" w:hAnsi="Arial" w:cs="Arial"/>
          <w:color w:val="303030"/>
          <w:sz w:val="20"/>
          <w:szCs w:val="20"/>
        </w:rPr>
        <w:t>Ojha</w:t>
      </w:r>
      <w:proofErr w:type="spellEnd"/>
      <w:r w:rsidRPr="00701485">
        <w:rPr>
          <w:rFonts w:ascii="Arial" w:eastAsia="Times New Roman" w:hAnsi="Arial" w:cs="Arial"/>
          <w:color w:val="303030"/>
          <w:sz w:val="20"/>
          <w:szCs w:val="20"/>
        </w:rPr>
        <w:t>. Reuters. December 19, 2012. Available from</w:t>
      </w:r>
    </w:p>
    <w:p w:rsidR="00701485" w:rsidRPr="00701485" w:rsidRDefault="00E10E6C" w:rsidP="00701485">
      <w:pPr>
        <w:shd w:val="clear" w:color="auto" w:fill="FFFFFF"/>
        <w:spacing w:after="0" w:line="240" w:lineRule="auto"/>
        <w:rPr>
          <w:rFonts w:ascii="Arial" w:eastAsia="Times New Roman" w:hAnsi="Arial" w:cs="Arial"/>
          <w:color w:val="303030"/>
          <w:sz w:val="20"/>
          <w:szCs w:val="20"/>
        </w:rPr>
      </w:pPr>
      <w:hyperlink r:id="rId36" w:history="1">
        <w:r w:rsidR="00701485" w:rsidRPr="00701485">
          <w:rPr>
            <w:rFonts w:ascii="Arial" w:eastAsia="Times New Roman" w:hAnsi="Arial" w:cs="Arial"/>
            <w:color w:val="1A90B4"/>
            <w:sz w:val="20"/>
            <w:szCs w:val="20"/>
            <w:u w:val="single"/>
          </w:rPr>
          <w:t>http://www.reuters.com/subjects/income-inequality/massachusetts</w:t>
        </w:r>
      </w:hyperlink>
    </w:p>
    <w:p w:rsidR="00701485" w:rsidRPr="00701485" w:rsidRDefault="00701485" w:rsidP="00701485">
      <w:pPr>
        <w:shd w:val="clear" w:color="auto" w:fill="FFFFFF"/>
        <w:spacing w:after="0" w:line="240" w:lineRule="auto"/>
        <w:rPr>
          <w:rFonts w:ascii="Arial" w:eastAsia="Times New Roman" w:hAnsi="Arial" w:cs="Arial"/>
          <w:color w:val="303030"/>
          <w:sz w:val="20"/>
          <w:szCs w:val="20"/>
        </w:rPr>
      </w:pPr>
      <w:r w:rsidRPr="00701485">
        <w:rPr>
          <w:rFonts w:ascii="Arial" w:eastAsia="Times New Roman" w:hAnsi="Arial" w:cs="Arial"/>
          <w:color w:val="303030"/>
          <w:sz w:val="20"/>
          <w:szCs w:val="20"/>
        </w:rPr>
        <w:t> </w:t>
      </w:r>
    </w:p>
    <w:p w:rsidR="00701485" w:rsidRPr="00701485" w:rsidRDefault="00701485" w:rsidP="00701485">
      <w:pPr>
        <w:shd w:val="clear" w:color="auto" w:fill="FFFFFF"/>
        <w:spacing w:after="0" w:line="240" w:lineRule="auto"/>
        <w:rPr>
          <w:rFonts w:ascii="Arial" w:eastAsia="Times New Roman" w:hAnsi="Arial" w:cs="Arial"/>
          <w:color w:val="303030"/>
          <w:sz w:val="20"/>
          <w:szCs w:val="20"/>
        </w:rPr>
      </w:pPr>
      <w:r w:rsidRPr="00701485">
        <w:rPr>
          <w:rFonts w:ascii="Arial" w:eastAsia="Times New Roman" w:hAnsi="Arial" w:cs="Arial"/>
          <w:color w:val="303030"/>
          <w:sz w:val="20"/>
          <w:szCs w:val="20"/>
        </w:rPr>
        <w:t>[15] “No Easy Answer for Rising Income Inequality.” Katherine Peralta. </w:t>
      </w:r>
      <w:r w:rsidRPr="00701485">
        <w:rPr>
          <w:rFonts w:ascii="Arial" w:eastAsia="Times New Roman" w:hAnsi="Arial" w:cs="Arial"/>
          <w:i/>
          <w:iCs/>
          <w:color w:val="303030"/>
          <w:sz w:val="20"/>
          <w:szCs w:val="20"/>
        </w:rPr>
        <w:t>U.S. News and World Report</w:t>
      </w:r>
      <w:r w:rsidRPr="00701485">
        <w:rPr>
          <w:rFonts w:ascii="Arial" w:eastAsia="Times New Roman" w:hAnsi="Arial" w:cs="Arial"/>
          <w:color w:val="303030"/>
          <w:sz w:val="20"/>
          <w:szCs w:val="20"/>
        </w:rPr>
        <w:t>. October 16, 2014. Available from </w:t>
      </w:r>
      <w:hyperlink r:id="rId37" w:history="1">
        <w:r w:rsidRPr="00701485">
          <w:rPr>
            <w:rFonts w:ascii="Arial" w:eastAsia="Times New Roman" w:hAnsi="Arial" w:cs="Arial"/>
            <w:color w:val="1A90B4"/>
            <w:sz w:val="20"/>
            <w:szCs w:val="20"/>
            <w:u w:val="single"/>
          </w:rPr>
          <w:t>http://www.usnews.com/news/articles/2014/10/16/no-easy-answer-for-rising...</w:t>
        </w:r>
      </w:hyperlink>
      <w:r w:rsidRPr="00701485">
        <w:rPr>
          <w:rFonts w:ascii="Arial" w:eastAsia="Times New Roman" w:hAnsi="Arial" w:cs="Arial"/>
          <w:color w:val="303030"/>
          <w:sz w:val="20"/>
          <w:szCs w:val="20"/>
        </w:rPr>
        <w:t> </w:t>
      </w:r>
    </w:p>
    <w:p w:rsidR="00701485" w:rsidRPr="00701485" w:rsidRDefault="00701485" w:rsidP="00701485">
      <w:pPr>
        <w:shd w:val="clear" w:color="auto" w:fill="FFFFFF"/>
        <w:spacing w:after="0" w:line="240" w:lineRule="auto"/>
        <w:rPr>
          <w:rFonts w:ascii="Arial" w:eastAsia="Times New Roman" w:hAnsi="Arial" w:cs="Arial"/>
          <w:color w:val="303030"/>
          <w:sz w:val="20"/>
          <w:szCs w:val="20"/>
        </w:rPr>
      </w:pPr>
      <w:r w:rsidRPr="00701485">
        <w:rPr>
          <w:rFonts w:ascii="Arial" w:eastAsia="Times New Roman" w:hAnsi="Arial" w:cs="Arial"/>
          <w:color w:val="303030"/>
          <w:sz w:val="20"/>
          <w:szCs w:val="20"/>
        </w:rPr>
        <w:t> </w:t>
      </w:r>
    </w:p>
    <w:p w:rsidR="00701485" w:rsidRPr="00701485" w:rsidRDefault="00701485" w:rsidP="00701485">
      <w:pPr>
        <w:shd w:val="clear" w:color="auto" w:fill="FFFFFF"/>
        <w:spacing w:after="0" w:line="240" w:lineRule="auto"/>
        <w:rPr>
          <w:rFonts w:ascii="Arial" w:eastAsia="Times New Roman" w:hAnsi="Arial" w:cs="Arial"/>
          <w:color w:val="303030"/>
          <w:sz w:val="20"/>
          <w:szCs w:val="20"/>
        </w:rPr>
      </w:pPr>
      <w:r w:rsidRPr="00701485">
        <w:rPr>
          <w:rFonts w:ascii="Arial" w:eastAsia="Times New Roman" w:hAnsi="Arial" w:cs="Arial"/>
          <w:color w:val="303030"/>
          <w:sz w:val="20"/>
          <w:szCs w:val="20"/>
        </w:rPr>
        <w:t>[16] "</w:t>
      </w:r>
      <w:hyperlink r:id="rId38" w:history="1">
        <w:r w:rsidRPr="00701485">
          <w:rPr>
            <w:rFonts w:ascii="Arial" w:eastAsia="Times New Roman" w:hAnsi="Arial" w:cs="Arial"/>
            <w:color w:val="1A90B4"/>
            <w:sz w:val="20"/>
            <w:szCs w:val="20"/>
            <w:u w:val="single"/>
          </w:rPr>
          <w:t>Less in Common</w:t>
        </w:r>
      </w:hyperlink>
      <w:r w:rsidRPr="00701485">
        <w:rPr>
          <w:rFonts w:ascii="Arial" w:eastAsia="Times New Roman" w:hAnsi="Arial" w:cs="Arial"/>
          <w:color w:val="303030"/>
          <w:sz w:val="20"/>
          <w:szCs w:val="20"/>
        </w:rPr>
        <w:t xml:space="preserve">." Joe </w:t>
      </w:r>
      <w:proofErr w:type="spellStart"/>
      <w:r w:rsidRPr="00701485">
        <w:rPr>
          <w:rFonts w:ascii="Arial" w:eastAsia="Times New Roman" w:hAnsi="Arial" w:cs="Arial"/>
          <w:color w:val="303030"/>
          <w:sz w:val="20"/>
          <w:szCs w:val="20"/>
        </w:rPr>
        <w:t>Cortright</w:t>
      </w:r>
      <w:proofErr w:type="spellEnd"/>
      <w:r w:rsidRPr="00701485">
        <w:rPr>
          <w:rFonts w:ascii="Arial" w:eastAsia="Times New Roman" w:hAnsi="Arial" w:cs="Arial"/>
          <w:color w:val="303030"/>
          <w:sz w:val="20"/>
          <w:szCs w:val="20"/>
        </w:rPr>
        <w:t xml:space="preserve"> and City Observatory. </w:t>
      </w:r>
      <w:proofErr w:type="spellStart"/>
      <w:r w:rsidRPr="00701485">
        <w:rPr>
          <w:rFonts w:ascii="Arial" w:eastAsia="Times New Roman" w:hAnsi="Arial" w:cs="Arial"/>
          <w:color w:val="303030"/>
          <w:sz w:val="20"/>
          <w:szCs w:val="20"/>
        </w:rPr>
        <w:t>CityReports</w:t>
      </w:r>
      <w:proofErr w:type="spellEnd"/>
      <w:r w:rsidRPr="00701485">
        <w:rPr>
          <w:rFonts w:ascii="Arial" w:eastAsia="Times New Roman" w:hAnsi="Arial" w:cs="Arial"/>
          <w:color w:val="303030"/>
          <w:sz w:val="20"/>
          <w:szCs w:val="20"/>
        </w:rPr>
        <w:t xml:space="preserve">. June 9, 2015. </w:t>
      </w:r>
      <w:proofErr w:type="spellStart"/>
      <w:r w:rsidRPr="00701485">
        <w:rPr>
          <w:rFonts w:ascii="Arial" w:eastAsia="Times New Roman" w:hAnsi="Arial" w:cs="Arial"/>
          <w:color w:val="303030"/>
          <w:sz w:val="20"/>
          <w:szCs w:val="20"/>
        </w:rPr>
        <w:t>Avaialble</w:t>
      </w:r>
      <w:proofErr w:type="spellEnd"/>
      <w:r w:rsidRPr="00701485">
        <w:rPr>
          <w:rFonts w:ascii="Arial" w:eastAsia="Times New Roman" w:hAnsi="Arial" w:cs="Arial"/>
          <w:color w:val="303030"/>
          <w:sz w:val="20"/>
          <w:szCs w:val="20"/>
        </w:rPr>
        <w:t xml:space="preserve"> from</w:t>
      </w:r>
      <w:hyperlink r:id="rId39" w:history="1">
        <w:r w:rsidRPr="00701485">
          <w:rPr>
            <w:rFonts w:ascii="Arial" w:eastAsia="Times New Roman" w:hAnsi="Arial" w:cs="Arial"/>
            <w:color w:val="1A90B4"/>
            <w:sz w:val="20"/>
            <w:szCs w:val="20"/>
            <w:u w:val="single"/>
          </w:rPr>
          <w:t>http://cityobservatory.org/less-in-common/</w:t>
        </w:r>
      </w:hyperlink>
    </w:p>
    <w:p w:rsidR="00701485" w:rsidRPr="00701485" w:rsidRDefault="00701485" w:rsidP="00701485">
      <w:pPr>
        <w:shd w:val="clear" w:color="auto" w:fill="FFFFFF"/>
        <w:spacing w:after="0" w:line="240" w:lineRule="auto"/>
        <w:rPr>
          <w:rFonts w:ascii="Arial" w:eastAsia="Times New Roman" w:hAnsi="Arial" w:cs="Arial"/>
          <w:color w:val="303030"/>
          <w:sz w:val="20"/>
          <w:szCs w:val="20"/>
        </w:rPr>
      </w:pPr>
      <w:r w:rsidRPr="00701485">
        <w:rPr>
          <w:rFonts w:ascii="Arial" w:eastAsia="Times New Roman" w:hAnsi="Arial" w:cs="Arial"/>
          <w:color w:val="303030"/>
          <w:sz w:val="20"/>
          <w:szCs w:val="20"/>
        </w:rPr>
        <w:t> </w:t>
      </w:r>
    </w:p>
    <w:p w:rsidR="00701485" w:rsidRPr="00701485" w:rsidRDefault="00701485" w:rsidP="00701485">
      <w:pPr>
        <w:shd w:val="clear" w:color="auto" w:fill="FFFFFF"/>
        <w:spacing w:after="0" w:line="240" w:lineRule="auto"/>
        <w:rPr>
          <w:rFonts w:ascii="Arial" w:eastAsia="Times New Roman" w:hAnsi="Arial" w:cs="Arial"/>
          <w:color w:val="303030"/>
          <w:sz w:val="20"/>
          <w:szCs w:val="20"/>
        </w:rPr>
      </w:pPr>
      <w:r w:rsidRPr="00701485">
        <w:rPr>
          <w:rFonts w:ascii="Arial" w:eastAsia="Times New Roman" w:hAnsi="Arial" w:cs="Arial"/>
          <w:color w:val="303030"/>
          <w:sz w:val="20"/>
          <w:szCs w:val="20"/>
        </w:rPr>
        <w:t xml:space="preserve">[17] “Some Cities Are Still More Unequal Thank Others – An Update.” Alan </w:t>
      </w:r>
      <w:proofErr w:type="spellStart"/>
      <w:r w:rsidRPr="00701485">
        <w:rPr>
          <w:rFonts w:ascii="Arial" w:eastAsia="Times New Roman" w:hAnsi="Arial" w:cs="Arial"/>
          <w:color w:val="303030"/>
          <w:sz w:val="20"/>
          <w:szCs w:val="20"/>
        </w:rPr>
        <w:t>Berube</w:t>
      </w:r>
      <w:proofErr w:type="spellEnd"/>
      <w:r w:rsidRPr="00701485">
        <w:rPr>
          <w:rFonts w:ascii="Arial" w:eastAsia="Times New Roman" w:hAnsi="Arial" w:cs="Arial"/>
          <w:color w:val="303030"/>
          <w:sz w:val="20"/>
          <w:szCs w:val="20"/>
        </w:rPr>
        <w:t xml:space="preserve"> and Natalie Holmes. Brookings. March 17, 2015. Available from </w:t>
      </w:r>
      <w:hyperlink r:id="rId40" w:history="1">
        <w:r w:rsidRPr="00701485">
          <w:rPr>
            <w:rFonts w:ascii="Arial" w:eastAsia="Times New Roman" w:hAnsi="Arial" w:cs="Arial"/>
            <w:color w:val="1A90B4"/>
            <w:sz w:val="20"/>
            <w:szCs w:val="20"/>
            <w:u w:val="single"/>
          </w:rPr>
          <w:t>http://www.brookings.edu/research/reports2/2015/03/city-inequality-berub...</w:t>
        </w:r>
      </w:hyperlink>
    </w:p>
    <w:p w:rsidR="008B6A94" w:rsidRDefault="008B6A94"/>
    <w:sectPr w:rsidR="008B6A94" w:rsidSect="00E10E6C">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485"/>
    <w:rsid w:val="00701485"/>
    <w:rsid w:val="008B6A94"/>
    <w:rsid w:val="00E10E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500A80-887B-4767-8E3F-CE80C0C1B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70148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70148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1485"/>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701485"/>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701485"/>
    <w:rPr>
      <w:color w:val="0000FF"/>
      <w:u w:val="single"/>
    </w:rPr>
  </w:style>
  <w:style w:type="character" w:customStyle="1" w:styleId="apple-converted-space">
    <w:name w:val="apple-converted-space"/>
    <w:basedOn w:val="DefaultParagraphFont"/>
    <w:rsid w:val="00701485"/>
  </w:style>
  <w:style w:type="character" w:styleId="Emphasis">
    <w:name w:val="Emphasis"/>
    <w:basedOn w:val="DefaultParagraphFont"/>
    <w:uiPriority w:val="20"/>
    <w:qFormat/>
    <w:rsid w:val="0070148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4553218">
      <w:bodyDiv w:val="1"/>
      <w:marLeft w:val="0"/>
      <w:marRight w:val="0"/>
      <w:marTop w:val="0"/>
      <w:marBottom w:val="0"/>
      <w:divBdr>
        <w:top w:val="none" w:sz="0" w:space="0" w:color="auto"/>
        <w:left w:val="none" w:sz="0" w:space="0" w:color="auto"/>
        <w:bottom w:val="none" w:sz="0" w:space="0" w:color="auto"/>
        <w:right w:val="none" w:sz="0" w:space="0" w:color="auto"/>
      </w:divBdr>
      <w:divsChild>
        <w:div w:id="522399169">
          <w:marLeft w:val="0"/>
          <w:marRight w:val="0"/>
          <w:marTop w:val="0"/>
          <w:marBottom w:val="0"/>
          <w:divBdr>
            <w:top w:val="none" w:sz="0" w:space="0" w:color="auto"/>
            <w:left w:val="none" w:sz="0" w:space="0" w:color="auto"/>
            <w:bottom w:val="none" w:sz="0" w:space="0" w:color="auto"/>
            <w:right w:val="none" w:sz="0" w:space="0" w:color="auto"/>
          </w:divBdr>
          <w:divsChild>
            <w:div w:id="1771268938">
              <w:marLeft w:val="0"/>
              <w:marRight w:val="0"/>
              <w:marTop w:val="0"/>
              <w:marBottom w:val="0"/>
              <w:divBdr>
                <w:top w:val="none" w:sz="0" w:space="0" w:color="auto"/>
                <w:left w:val="none" w:sz="0" w:space="0" w:color="auto"/>
                <w:bottom w:val="none" w:sz="0" w:space="0" w:color="auto"/>
                <w:right w:val="none" w:sz="0" w:space="0" w:color="auto"/>
              </w:divBdr>
              <w:divsChild>
                <w:div w:id="506944331">
                  <w:marLeft w:val="0"/>
                  <w:marRight w:val="0"/>
                  <w:marTop w:val="0"/>
                  <w:marBottom w:val="0"/>
                  <w:divBdr>
                    <w:top w:val="none" w:sz="0" w:space="0" w:color="auto"/>
                    <w:left w:val="none" w:sz="0" w:space="0" w:color="auto"/>
                    <w:bottom w:val="none" w:sz="0" w:space="0" w:color="auto"/>
                    <w:right w:val="none" w:sz="0" w:space="0" w:color="auto"/>
                  </w:divBdr>
                  <w:divsChild>
                    <w:div w:id="1026099198">
                      <w:marLeft w:val="0"/>
                      <w:marRight w:val="0"/>
                      <w:marTop w:val="0"/>
                      <w:marBottom w:val="0"/>
                      <w:divBdr>
                        <w:top w:val="none" w:sz="0" w:space="0" w:color="auto"/>
                        <w:left w:val="none" w:sz="0" w:space="0" w:color="auto"/>
                        <w:bottom w:val="none" w:sz="0" w:space="0" w:color="auto"/>
                        <w:right w:val="none" w:sz="0" w:space="0" w:color="auto"/>
                      </w:divBdr>
                      <w:divsChild>
                        <w:div w:id="1056196403">
                          <w:marLeft w:val="0"/>
                          <w:marRight w:val="0"/>
                          <w:marTop w:val="0"/>
                          <w:marBottom w:val="0"/>
                          <w:divBdr>
                            <w:top w:val="none" w:sz="0" w:space="0" w:color="auto"/>
                            <w:left w:val="none" w:sz="0" w:space="0" w:color="auto"/>
                            <w:bottom w:val="none" w:sz="0" w:space="0" w:color="auto"/>
                            <w:right w:val="none" w:sz="0" w:space="0" w:color="auto"/>
                          </w:divBdr>
                          <w:divsChild>
                            <w:div w:id="549343286">
                              <w:marLeft w:val="0"/>
                              <w:marRight w:val="0"/>
                              <w:marTop w:val="0"/>
                              <w:marBottom w:val="0"/>
                              <w:divBdr>
                                <w:top w:val="none" w:sz="0" w:space="0" w:color="auto"/>
                                <w:left w:val="none" w:sz="0" w:space="0" w:color="auto"/>
                                <w:bottom w:val="none" w:sz="0" w:space="0" w:color="auto"/>
                                <w:right w:val="none" w:sz="0" w:space="0" w:color="auto"/>
                              </w:divBdr>
                            </w:div>
                          </w:divsChild>
                        </w:div>
                        <w:div w:id="1224873003">
                          <w:marLeft w:val="0"/>
                          <w:marRight w:val="0"/>
                          <w:marTop w:val="0"/>
                          <w:marBottom w:val="300"/>
                          <w:divBdr>
                            <w:top w:val="none" w:sz="0" w:space="0" w:color="auto"/>
                            <w:left w:val="none" w:sz="0" w:space="0" w:color="auto"/>
                            <w:bottom w:val="none" w:sz="0" w:space="0" w:color="auto"/>
                            <w:right w:val="none" w:sz="0" w:space="0" w:color="auto"/>
                          </w:divBdr>
                          <w:divsChild>
                            <w:div w:id="1817185994">
                              <w:marLeft w:val="0"/>
                              <w:marRight w:val="0"/>
                              <w:marTop w:val="0"/>
                              <w:marBottom w:val="0"/>
                              <w:divBdr>
                                <w:top w:val="none" w:sz="0" w:space="0" w:color="auto"/>
                                <w:left w:val="none" w:sz="0" w:space="0" w:color="auto"/>
                                <w:bottom w:val="none" w:sz="0" w:space="0" w:color="auto"/>
                                <w:right w:val="none" w:sz="0" w:space="0" w:color="auto"/>
                              </w:divBdr>
                              <w:divsChild>
                                <w:div w:id="1144851513">
                                  <w:marLeft w:val="0"/>
                                  <w:marRight w:val="0"/>
                                  <w:marTop w:val="0"/>
                                  <w:marBottom w:val="0"/>
                                  <w:divBdr>
                                    <w:top w:val="none" w:sz="0" w:space="0" w:color="auto"/>
                                    <w:left w:val="none" w:sz="0" w:space="0" w:color="auto"/>
                                    <w:bottom w:val="none" w:sz="0" w:space="0" w:color="auto"/>
                                    <w:right w:val="none" w:sz="0" w:space="0" w:color="auto"/>
                                  </w:divBdr>
                                  <w:divsChild>
                                    <w:div w:id="381292560">
                                      <w:marLeft w:val="0"/>
                                      <w:marRight w:val="0"/>
                                      <w:marTop w:val="0"/>
                                      <w:marBottom w:val="0"/>
                                      <w:divBdr>
                                        <w:top w:val="none" w:sz="0" w:space="0" w:color="auto"/>
                                        <w:left w:val="none" w:sz="0" w:space="0" w:color="auto"/>
                                        <w:bottom w:val="none" w:sz="0" w:space="0" w:color="auto"/>
                                        <w:right w:val="none" w:sz="0" w:space="0" w:color="auto"/>
                                      </w:divBdr>
                                    </w:div>
                                    <w:div w:id="1171796544">
                                      <w:marLeft w:val="0"/>
                                      <w:marRight w:val="0"/>
                                      <w:marTop w:val="0"/>
                                      <w:marBottom w:val="0"/>
                                      <w:divBdr>
                                        <w:top w:val="none" w:sz="0" w:space="0" w:color="auto"/>
                                        <w:left w:val="none" w:sz="0" w:space="0" w:color="auto"/>
                                        <w:bottom w:val="none" w:sz="0" w:space="0" w:color="auto"/>
                                        <w:right w:val="none" w:sz="0" w:space="0" w:color="auto"/>
                                      </w:divBdr>
                                    </w:div>
                                    <w:div w:id="1296302290">
                                      <w:marLeft w:val="0"/>
                                      <w:marRight w:val="0"/>
                                      <w:marTop w:val="0"/>
                                      <w:marBottom w:val="0"/>
                                      <w:divBdr>
                                        <w:top w:val="none" w:sz="0" w:space="0" w:color="auto"/>
                                        <w:left w:val="none" w:sz="0" w:space="0" w:color="auto"/>
                                        <w:bottom w:val="none" w:sz="0" w:space="0" w:color="auto"/>
                                        <w:right w:val="none" w:sz="0" w:space="0" w:color="auto"/>
                                      </w:divBdr>
                                    </w:div>
                                    <w:div w:id="174152164">
                                      <w:marLeft w:val="0"/>
                                      <w:marRight w:val="0"/>
                                      <w:marTop w:val="0"/>
                                      <w:marBottom w:val="0"/>
                                      <w:divBdr>
                                        <w:top w:val="none" w:sz="0" w:space="0" w:color="auto"/>
                                        <w:left w:val="none" w:sz="0" w:space="0" w:color="auto"/>
                                        <w:bottom w:val="none" w:sz="0" w:space="0" w:color="auto"/>
                                        <w:right w:val="none" w:sz="0" w:space="0" w:color="auto"/>
                                      </w:divBdr>
                                    </w:div>
                                    <w:div w:id="717511149">
                                      <w:marLeft w:val="0"/>
                                      <w:marRight w:val="0"/>
                                      <w:marTop w:val="0"/>
                                      <w:marBottom w:val="0"/>
                                      <w:divBdr>
                                        <w:top w:val="none" w:sz="0" w:space="0" w:color="auto"/>
                                        <w:left w:val="none" w:sz="0" w:space="0" w:color="auto"/>
                                        <w:bottom w:val="none" w:sz="0" w:space="0" w:color="auto"/>
                                        <w:right w:val="none" w:sz="0" w:space="0" w:color="auto"/>
                                      </w:divBdr>
                                    </w:div>
                                    <w:div w:id="1927761522">
                                      <w:marLeft w:val="0"/>
                                      <w:marRight w:val="0"/>
                                      <w:marTop w:val="0"/>
                                      <w:marBottom w:val="0"/>
                                      <w:divBdr>
                                        <w:top w:val="none" w:sz="0" w:space="0" w:color="auto"/>
                                        <w:left w:val="none" w:sz="0" w:space="0" w:color="auto"/>
                                        <w:bottom w:val="none" w:sz="0" w:space="0" w:color="auto"/>
                                        <w:right w:val="none" w:sz="0" w:space="0" w:color="auto"/>
                                      </w:divBdr>
                                    </w:div>
                                    <w:div w:id="429811940">
                                      <w:marLeft w:val="0"/>
                                      <w:marRight w:val="0"/>
                                      <w:marTop w:val="0"/>
                                      <w:marBottom w:val="0"/>
                                      <w:divBdr>
                                        <w:top w:val="none" w:sz="0" w:space="0" w:color="auto"/>
                                        <w:left w:val="none" w:sz="0" w:space="0" w:color="auto"/>
                                        <w:bottom w:val="none" w:sz="0" w:space="0" w:color="auto"/>
                                        <w:right w:val="none" w:sz="0" w:space="0" w:color="auto"/>
                                      </w:divBdr>
                                    </w:div>
                                    <w:div w:id="582301136">
                                      <w:marLeft w:val="0"/>
                                      <w:marRight w:val="0"/>
                                      <w:marTop w:val="0"/>
                                      <w:marBottom w:val="0"/>
                                      <w:divBdr>
                                        <w:top w:val="none" w:sz="0" w:space="0" w:color="auto"/>
                                        <w:left w:val="none" w:sz="0" w:space="0" w:color="auto"/>
                                        <w:bottom w:val="none" w:sz="0" w:space="0" w:color="auto"/>
                                        <w:right w:val="none" w:sz="0" w:space="0" w:color="auto"/>
                                      </w:divBdr>
                                    </w:div>
                                    <w:div w:id="44570419">
                                      <w:marLeft w:val="0"/>
                                      <w:marRight w:val="0"/>
                                      <w:marTop w:val="0"/>
                                      <w:marBottom w:val="0"/>
                                      <w:divBdr>
                                        <w:top w:val="none" w:sz="0" w:space="0" w:color="auto"/>
                                        <w:left w:val="none" w:sz="0" w:space="0" w:color="auto"/>
                                        <w:bottom w:val="none" w:sz="0" w:space="0" w:color="auto"/>
                                        <w:right w:val="none" w:sz="0" w:space="0" w:color="auto"/>
                                      </w:divBdr>
                                    </w:div>
                                    <w:div w:id="92484166">
                                      <w:marLeft w:val="0"/>
                                      <w:marRight w:val="0"/>
                                      <w:marTop w:val="0"/>
                                      <w:marBottom w:val="0"/>
                                      <w:divBdr>
                                        <w:top w:val="none" w:sz="0" w:space="0" w:color="auto"/>
                                        <w:left w:val="none" w:sz="0" w:space="0" w:color="auto"/>
                                        <w:bottom w:val="none" w:sz="0" w:space="0" w:color="auto"/>
                                        <w:right w:val="none" w:sz="0" w:space="0" w:color="auto"/>
                                      </w:divBdr>
                                    </w:div>
                                    <w:div w:id="856230803">
                                      <w:marLeft w:val="0"/>
                                      <w:marRight w:val="0"/>
                                      <w:marTop w:val="0"/>
                                      <w:marBottom w:val="0"/>
                                      <w:divBdr>
                                        <w:top w:val="none" w:sz="0" w:space="0" w:color="auto"/>
                                        <w:left w:val="none" w:sz="0" w:space="0" w:color="auto"/>
                                        <w:bottom w:val="none" w:sz="0" w:space="0" w:color="auto"/>
                                        <w:right w:val="none" w:sz="0" w:space="0" w:color="auto"/>
                                      </w:divBdr>
                                    </w:div>
                                    <w:div w:id="298729921">
                                      <w:marLeft w:val="0"/>
                                      <w:marRight w:val="0"/>
                                      <w:marTop w:val="0"/>
                                      <w:marBottom w:val="0"/>
                                      <w:divBdr>
                                        <w:top w:val="none" w:sz="0" w:space="0" w:color="auto"/>
                                        <w:left w:val="none" w:sz="0" w:space="0" w:color="auto"/>
                                        <w:bottom w:val="none" w:sz="0" w:space="0" w:color="auto"/>
                                        <w:right w:val="none" w:sz="0" w:space="0" w:color="auto"/>
                                      </w:divBdr>
                                    </w:div>
                                    <w:div w:id="35982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599326">
                              <w:marLeft w:val="0"/>
                              <w:marRight w:val="0"/>
                              <w:marTop w:val="0"/>
                              <w:marBottom w:val="0"/>
                              <w:divBdr>
                                <w:top w:val="none" w:sz="0" w:space="0" w:color="auto"/>
                                <w:left w:val="none" w:sz="0" w:space="0" w:color="auto"/>
                                <w:bottom w:val="none" w:sz="0" w:space="0" w:color="auto"/>
                                <w:right w:val="none" w:sz="0" w:space="0" w:color="auto"/>
                              </w:divBdr>
                              <w:divsChild>
                                <w:div w:id="1485975123">
                                  <w:marLeft w:val="0"/>
                                  <w:marRight w:val="0"/>
                                  <w:marTop w:val="0"/>
                                  <w:marBottom w:val="0"/>
                                  <w:divBdr>
                                    <w:top w:val="none" w:sz="0" w:space="0" w:color="auto"/>
                                    <w:left w:val="none" w:sz="0" w:space="0" w:color="auto"/>
                                    <w:bottom w:val="none" w:sz="0" w:space="0" w:color="auto"/>
                                    <w:right w:val="none" w:sz="0" w:space="0" w:color="auto"/>
                                  </w:divBdr>
                                  <w:divsChild>
                                    <w:div w:id="1866165321">
                                      <w:marLeft w:val="0"/>
                                      <w:marRight w:val="0"/>
                                      <w:marTop w:val="0"/>
                                      <w:marBottom w:val="0"/>
                                      <w:divBdr>
                                        <w:top w:val="none" w:sz="0" w:space="0" w:color="auto"/>
                                        <w:left w:val="none" w:sz="0" w:space="0" w:color="auto"/>
                                        <w:bottom w:val="none" w:sz="0" w:space="0" w:color="auto"/>
                                        <w:right w:val="none" w:sz="0" w:space="0" w:color="auto"/>
                                      </w:divBdr>
                                    </w:div>
                                    <w:div w:id="1427576673">
                                      <w:marLeft w:val="0"/>
                                      <w:marRight w:val="0"/>
                                      <w:marTop w:val="0"/>
                                      <w:marBottom w:val="0"/>
                                      <w:divBdr>
                                        <w:top w:val="none" w:sz="0" w:space="0" w:color="auto"/>
                                        <w:left w:val="none" w:sz="0" w:space="0" w:color="auto"/>
                                        <w:bottom w:val="none" w:sz="0" w:space="0" w:color="auto"/>
                                        <w:right w:val="none" w:sz="0" w:space="0" w:color="auto"/>
                                      </w:divBdr>
                                    </w:div>
                                    <w:div w:id="1878081265">
                                      <w:marLeft w:val="0"/>
                                      <w:marRight w:val="0"/>
                                      <w:marTop w:val="0"/>
                                      <w:marBottom w:val="0"/>
                                      <w:divBdr>
                                        <w:top w:val="none" w:sz="0" w:space="0" w:color="auto"/>
                                        <w:left w:val="none" w:sz="0" w:space="0" w:color="auto"/>
                                        <w:bottom w:val="none" w:sz="0" w:space="0" w:color="auto"/>
                                        <w:right w:val="none" w:sz="0" w:space="0" w:color="auto"/>
                                      </w:divBdr>
                                    </w:div>
                                    <w:div w:id="1284265849">
                                      <w:marLeft w:val="0"/>
                                      <w:marRight w:val="0"/>
                                      <w:marTop w:val="0"/>
                                      <w:marBottom w:val="0"/>
                                      <w:divBdr>
                                        <w:top w:val="none" w:sz="0" w:space="0" w:color="auto"/>
                                        <w:left w:val="none" w:sz="0" w:space="0" w:color="auto"/>
                                        <w:bottom w:val="none" w:sz="0" w:space="0" w:color="auto"/>
                                        <w:right w:val="none" w:sz="0" w:space="0" w:color="auto"/>
                                      </w:divBdr>
                                    </w:div>
                                    <w:div w:id="1714310701">
                                      <w:marLeft w:val="0"/>
                                      <w:marRight w:val="0"/>
                                      <w:marTop w:val="0"/>
                                      <w:marBottom w:val="0"/>
                                      <w:divBdr>
                                        <w:top w:val="none" w:sz="0" w:space="0" w:color="auto"/>
                                        <w:left w:val="none" w:sz="0" w:space="0" w:color="auto"/>
                                        <w:bottom w:val="none" w:sz="0" w:space="0" w:color="auto"/>
                                        <w:right w:val="none" w:sz="0" w:space="0" w:color="auto"/>
                                      </w:divBdr>
                                    </w:div>
                                    <w:div w:id="668947485">
                                      <w:marLeft w:val="0"/>
                                      <w:marRight w:val="0"/>
                                      <w:marTop w:val="0"/>
                                      <w:marBottom w:val="0"/>
                                      <w:divBdr>
                                        <w:top w:val="none" w:sz="0" w:space="0" w:color="auto"/>
                                        <w:left w:val="none" w:sz="0" w:space="0" w:color="auto"/>
                                        <w:bottom w:val="none" w:sz="0" w:space="0" w:color="auto"/>
                                        <w:right w:val="none" w:sz="0" w:space="0" w:color="auto"/>
                                      </w:divBdr>
                                    </w:div>
                                    <w:div w:id="186400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971573">
                          <w:marLeft w:val="0"/>
                          <w:marRight w:val="0"/>
                          <w:marTop w:val="0"/>
                          <w:marBottom w:val="0"/>
                          <w:divBdr>
                            <w:top w:val="none" w:sz="0" w:space="0" w:color="auto"/>
                            <w:left w:val="none" w:sz="0" w:space="0" w:color="auto"/>
                            <w:bottom w:val="none" w:sz="0" w:space="0" w:color="auto"/>
                            <w:right w:val="none" w:sz="0" w:space="0" w:color="auto"/>
                          </w:divBdr>
                          <w:divsChild>
                            <w:div w:id="1021274063">
                              <w:marLeft w:val="0"/>
                              <w:marRight w:val="0"/>
                              <w:marTop w:val="0"/>
                              <w:marBottom w:val="0"/>
                              <w:divBdr>
                                <w:top w:val="none" w:sz="0" w:space="0" w:color="auto"/>
                                <w:left w:val="none" w:sz="0" w:space="0" w:color="auto"/>
                                <w:bottom w:val="none" w:sz="0" w:space="0" w:color="auto"/>
                                <w:right w:val="none" w:sz="0" w:space="0" w:color="auto"/>
                              </w:divBdr>
                            </w:div>
                            <w:div w:id="400913517">
                              <w:marLeft w:val="0"/>
                              <w:marRight w:val="0"/>
                              <w:marTop w:val="0"/>
                              <w:marBottom w:val="0"/>
                              <w:divBdr>
                                <w:top w:val="none" w:sz="0" w:space="0" w:color="auto"/>
                                <w:left w:val="none" w:sz="0" w:space="0" w:color="auto"/>
                                <w:bottom w:val="none" w:sz="0" w:space="0" w:color="auto"/>
                                <w:right w:val="none" w:sz="0" w:space="0" w:color="auto"/>
                              </w:divBdr>
                            </w:div>
                            <w:div w:id="930818427">
                              <w:marLeft w:val="0"/>
                              <w:marRight w:val="0"/>
                              <w:marTop w:val="0"/>
                              <w:marBottom w:val="0"/>
                              <w:divBdr>
                                <w:top w:val="none" w:sz="0" w:space="0" w:color="auto"/>
                                <w:left w:val="none" w:sz="0" w:space="0" w:color="auto"/>
                                <w:bottom w:val="none" w:sz="0" w:space="0" w:color="auto"/>
                                <w:right w:val="none" w:sz="0" w:space="0" w:color="auto"/>
                              </w:divBdr>
                            </w:div>
                            <w:div w:id="1461996174">
                              <w:marLeft w:val="0"/>
                              <w:marRight w:val="0"/>
                              <w:marTop w:val="0"/>
                              <w:marBottom w:val="0"/>
                              <w:divBdr>
                                <w:top w:val="none" w:sz="0" w:space="0" w:color="auto"/>
                                <w:left w:val="none" w:sz="0" w:space="0" w:color="auto"/>
                                <w:bottom w:val="none" w:sz="0" w:space="0" w:color="auto"/>
                                <w:right w:val="none" w:sz="0" w:space="0" w:color="auto"/>
                              </w:divBdr>
                            </w:div>
                            <w:div w:id="1226063890">
                              <w:marLeft w:val="0"/>
                              <w:marRight w:val="0"/>
                              <w:marTop w:val="0"/>
                              <w:marBottom w:val="0"/>
                              <w:divBdr>
                                <w:top w:val="none" w:sz="0" w:space="0" w:color="auto"/>
                                <w:left w:val="none" w:sz="0" w:space="0" w:color="auto"/>
                                <w:bottom w:val="none" w:sz="0" w:space="0" w:color="auto"/>
                                <w:right w:val="none" w:sz="0" w:space="0" w:color="auto"/>
                              </w:divBdr>
                            </w:div>
                            <w:div w:id="265041148">
                              <w:marLeft w:val="0"/>
                              <w:marRight w:val="0"/>
                              <w:marTop w:val="0"/>
                              <w:marBottom w:val="0"/>
                              <w:divBdr>
                                <w:top w:val="none" w:sz="0" w:space="0" w:color="auto"/>
                                <w:left w:val="none" w:sz="0" w:space="0" w:color="auto"/>
                                <w:bottom w:val="none" w:sz="0" w:space="0" w:color="auto"/>
                                <w:right w:val="none" w:sz="0" w:space="0" w:color="auto"/>
                              </w:divBdr>
                            </w:div>
                            <w:div w:id="868646369">
                              <w:marLeft w:val="0"/>
                              <w:marRight w:val="0"/>
                              <w:marTop w:val="0"/>
                              <w:marBottom w:val="0"/>
                              <w:divBdr>
                                <w:top w:val="none" w:sz="0" w:space="0" w:color="auto"/>
                                <w:left w:val="none" w:sz="0" w:space="0" w:color="auto"/>
                                <w:bottom w:val="none" w:sz="0" w:space="0" w:color="auto"/>
                                <w:right w:val="none" w:sz="0" w:space="0" w:color="auto"/>
                              </w:divBdr>
                            </w:div>
                            <w:div w:id="1315253138">
                              <w:marLeft w:val="0"/>
                              <w:marRight w:val="0"/>
                              <w:marTop w:val="0"/>
                              <w:marBottom w:val="0"/>
                              <w:divBdr>
                                <w:top w:val="none" w:sz="0" w:space="0" w:color="auto"/>
                                <w:left w:val="none" w:sz="0" w:space="0" w:color="auto"/>
                                <w:bottom w:val="none" w:sz="0" w:space="0" w:color="auto"/>
                                <w:right w:val="none" w:sz="0" w:space="0" w:color="auto"/>
                              </w:divBdr>
                            </w:div>
                            <w:div w:id="615797498">
                              <w:marLeft w:val="0"/>
                              <w:marRight w:val="0"/>
                              <w:marTop w:val="0"/>
                              <w:marBottom w:val="0"/>
                              <w:divBdr>
                                <w:top w:val="none" w:sz="0" w:space="0" w:color="auto"/>
                                <w:left w:val="none" w:sz="0" w:space="0" w:color="auto"/>
                                <w:bottom w:val="none" w:sz="0" w:space="0" w:color="auto"/>
                                <w:right w:val="none" w:sz="0" w:space="0" w:color="auto"/>
                              </w:divBdr>
                            </w:div>
                            <w:div w:id="1637640282">
                              <w:marLeft w:val="0"/>
                              <w:marRight w:val="0"/>
                              <w:marTop w:val="0"/>
                              <w:marBottom w:val="0"/>
                              <w:divBdr>
                                <w:top w:val="none" w:sz="0" w:space="0" w:color="auto"/>
                                <w:left w:val="none" w:sz="0" w:space="0" w:color="auto"/>
                                <w:bottom w:val="none" w:sz="0" w:space="0" w:color="auto"/>
                                <w:right w:val="none" w:sz="0" w:space="0" w:color="auto"/>
                              </w:divBdr>
                            </w:div>
                            <w:div w:id="1514875106">
                              <w:marLeft w:val="0"/>
                              <w:marRight w:val="0"/>
                              <w:marTop w:val="0"/>
                              <w:marBottom w:val="0"/>
                              <w:divBdr>
                                <w:top w:val="none" w:sz="0" w:space="0" w:color="auto"/>
                                <w:left w:val="none" w:sz="0" w:space="0" w:color="auto"/>
                                <w:bottom w:val="none" w:sz="0" w:space="0" w:color="auto"/>
                                <w:right w:val="none" w:sz="0" w:space="0" w:color="auto"/>
                              </w:divBdr>
                            </w:div>
                            <w:div w:id="1749301192">
                              <w:marLeft w:val="0"/>
                              <w:marRight w:val="0"/>
                              <w:marTop w:val="0"/>
                              <w:marBottom w:val="0"/>
                              <w:divBdr>
                                <w:top w:val="none" w:sz="0" w:space="0" w:color="auto"/>
                                <w:left w:val="none" w:sz="0" w:space="0" w:color="auto"/>
                                <w:bottom w:val="none" w:sz="0" w:space="0" w:color="auto"/>
                                <w:right w:val="none" w:sz="0" w:space="0" w:color="auto"/>
                              </w:divBdr>
                            </w:div>
                            <w:div w:id="42800423">
                              <w:marLeft w:val="0"/>
                              <w:marRight w:val="0"/>
                              <w:marTop w:val="0"/>
                              <w:marBottom w:val="0"/>
                              <w:divBdr>
                                <w:top w:val="none" w:sz="0" w:space="0" w:color="auto"/>
                                <w:left w:val="none" w:sz="0" w:space="0" w:color="auto"/>
                                <w:bottom w:val="none" w:sz="0" w:space="0" w:color="auto"/>
                                <w:right w:val="none" w:sz="0" w:space="0" w:color="auto"/>
                              </w:divBdr>
                            </w:div>
                            <w:div w:id="111439634">
                              <w:marLeft w:val="0"/>
                              <w:marRight w:val="0"/>
                              <w:marTop w:val="0"/>
                              <w:marBottom w:val="0"/>
                              <w:divBdr>
                                <w:top w:val="none" w:sz="0" w:space="0" w:color="auto"/>
                                <w:left w:val="none" w:sz="0" w:space="0" w:color="auto"/>
                                <w:bottom w:val="none" w:sz="0" w:space="0" w:color="auto"/>
                                <w:right w:val="none" w:sz="0" w:space="0" w:color="auto"/>
                              </w:divBdr>
                            </w:div>
                            <w:div w:id="744768664">
                              <w:marLeft w:val="0"/>
                              <w:marRight w:val="0"/>
                              <w:marTop w:val="0"/>
                              <w:marBottom w:val="0"/>
                              <w:divBdr>
                                <w:top w:val="none" w:sz="0" w:space="0" w:color="auto"/>
                                <w:left w:val="none" w:sz="0" w:space="0" w:color="auto"/>
                                <w:bottom w:val="none" w:sz="0" w:space="0" w:color="auto"/>
                                <w:right w:val="none" w:sz="0" w:space="0" w:color="auto"/>
                              </w:divBdr>
                            </w:div>
                            <w:div w:id="320306107">
                              <w:marLeft w:val="0"/>
                              <w:marRight w:val="0"/>
                              <w:marTop w:val="0"/>
                              <w:marBottom w:val="0"/>
                              <w:divBdr>
                                <w:top w:val="none" w:sz="0" w:space="0" w:color="auto"/>
                                <w:left w:val="none" w:sz="0" w:space="0" w:color="auto"/>
                                <w:bottom w:val="none" w:sz="0" w:space="0" w:color="auto"/>
                                <w:right w:val="none" w:sz="0" w:space="0" w:color="auto"/>
                              </w:divBdr>
                            </w:div>
                            <w:div w:id="1418135262">
                              <w:marLeft w:val="0"/>
                              <w:marRight w:val="0"/>
                              <w:marTop w:val="0"/>
                              <w:marBottom w:val="0"/>
                              <w:divBdr>
                                <w:top w:val="none" w:sz="0" w:space="0" w:color="auto"/>
                                <w:left w:val="none" w:sz="0" w:space="0" w:color="auto"/>
                                <w:bottom w:val="none" w:sz="0" w:space="0" w:color="auto"/>
                                <w:right w:val="none" w:sz="0" w:space="0" w:color="auto"/>
                              </w:divBdr>
                            </w:div>
                            <w:div w:id="159976435">
                              <w:marLeft w:val="0"/>
                              <w:marRight w:val="0"/>
                              <w:marTop w:val="0"/>
                              <w:marBottom w:val="0"/>
                              <w:divBdr>
                                <w:top w:val="none" w:sz="0" w:space="0" w:color="auto"/>
                                <w:left w:val="none" w:sz="0" w:space="0" w:color="auto"/>
                                <w:bottom w:val="none" w:sz="0" w:space="0" w:color="auto"/>
                                <w:right w:val="none" w:sz="0" w:space="0" w:color="auto"/>
                              </w:divBdr>
                            </w:div>
                            <w:div w:id="87695525">
                              <w:marLeft w:val="0"/>
                              <w:marRight w:val="0"/>
                              <w:marTop w:val="0"/>
                              <w:marBottom w:val="0"/>
                              <w:divBdr>
                                <w:top w:val="none" w:sz="0" w:space="0" w:color="auto"/>
                                <w:left w:val="none" w:sz="0" w:space="0" w:color="auto"/>
                                <w:bottom w:val="none" w:sz="0" w:space="0" w:color="auto"/>
                                <w:right w:val="none" w:sz="0" w:space="0" w:color="auto"/>
                              </w:divBdr>
                            </w:div>
                            <w:div w:id="1544749554">
                              <w:marLeft w:val="0"/>
                              <w:marRight w:val="0"/>
                              <w:marTop w:val="0"/>
                              <w:marBottom w:val="0"/>
                              <w:divBdr>
                                <w:top w:val="none" w:sz="0" w:space="0" w:color="auto"/>
                                <w:left w:val="none" w:sz="0" w:space="0" w:color="auto"/>
                                <w:bottom w:val="none" w:sz="0" w:space="0" w:color="auto"/>
                                <w:right w:val="none" w:sz="0" w:space="0" w:color="auto"/>
                              </w:divBdr>
                            </w:div>
                            <w:div w:id="898324598">
                              <w:marLeft w:val="0"/>
                              <w:marRight w:val="0"/>
                              <w:marTop w:val="0"/>
                              <w:marBottom w:val="0"/>
                              <w:divBdr>
                                <w:top w:val="none" w:sz="0" w:space="0" w:color="auto"/>
                                <w:left w:val="none" w:sz="0" w:space="0" w:color="auto"/>
                                <w:bottom w:val="none" w:sz="0" w:space="0" w:color="auto"/>
                                <w:right w:val="none" w:sz="0" w:space="0" w:color="auto"/>
                              </w:divBdr>
                            </w:div>
                            <w:div w:id="931157469">
                              <w:marLeft w:val="0"/>
                              <w:marRight w:val="0"/>
                              <w:marTop w:val="0"/>
                              <w:marBottom w:val="0"/>
                              <w:divBdr>
                                <w:top w:val="none" w:sz="0" w:space="0" w:color="auto"/>
                                <w:left w:val="none" w:sz="0" w:space="0" w:color="auto"/>
                                <w:bottom w:val="none" w:sz="0" w:space="0" w:color="auto"/>
                                <w:right w:val="none" w:sz="0" w:space="0" w:color="auto"/>
                              </w:divBdr>
                            </w:div>
                            <w:div w:id="321782159">
                              <w:marLeft w:val="0"/>
                              <w:marRight w:val="0"/>
                              <w:marTop w:val="0"/>
                              <w:marBottom w:val="0"/>
                              <w:divBdr>
                                <w:top w:val="none" w:sz="0" w:space="0" w:color="auto"/>
                                <w:left w:val="none" w:sz="0" w:space="0" w:color="auto"/>
                                <w:bottom w:val="none" w:sz="0" w:space="0" w:color="auto"/>
                                <w:right w:val="none" w:sz="0" w:space="0" w:color="auto"/>
                              </w:divBdr>
                            </w:div>
                            <w:div w:id="1666592761">
                              <w:marLeft w:val="0"/>
                              <w:marRight w:val="0"/>
                              <w:marTop w:val="0"/>
                              <w:marBottom w:val="0"/>
                              <w:divBdr>
                                <w:top w:val="none" w:sz="0" w:space="0" w:color="auto"/>
                                <w:left w:val="none" w:sz="0" w:space="0" w:color="auto"/>
                                <w:bottom w:val="none" w:sz="0" w:space="0" w:color="auto"/>
                                <w:right w:val="none" w:sz="0" w:space="0" w:color="auto"/>
                              </w:divBdr>
                            </w:div>
                            <w:div w:id="201216413">
                              <w:marLeft w:val="0"/>
                              <w:marRight w:val="0"/>
                              <w:marTop w:val="0"/>
                              <w:marBottom w:val="0"/>
                              <w:divBdr>
                                <w:top w:val="none" w:sz="0" w:space="0" w:color="auto"/>
                                <w:left w:val="none" w:sz="0" w:space="0" w:color="auto"/>
                                <w:bottom w:val="none" w:sz="0" w:space="0" w:color="auto"/>
                                <w:right w:val="none" w:sz="0" w:space="0" w:color="auto"/>
                              </w:divBdr>
                            </w:div>
                            <w:div w:id="629165926">
                              <w:marLeft w:val="0"/>
                              <w:marRight w:val="0"/>
                              <w:marTop w:val="0"/>
                              <w:marBottom w:val="0"/>
                              <w:divBdr>
                                <w:top w:val="none" w:sz="0" w:space="0" w:color="auto"/>
                                <w:left w:val="none" w:sz="0" w:space="0" w:color="auto"/>
                                <w:bottom w:val="none" w:sz="0" w:space="0" w:color="auto"/>
                                <w:right w:val="none" w:sz="0" w:space="0" w:color="auto"/>
                              </w:divBdr>
                            </w:div>
                            <w:div w:id="734354984">
                              <w:marLeft w:val="0"/>
                              <w:marRight w:val="0"/>
                              <w:marTop w:val="0"/>
                              <w:marBottom w:val="0"/>
                              <w:divBdr>
                                <w:top w:val="none" w:sz="0" w:space="0" w:color="auto"/>
                                <w:left w:val="none" w:sz="0" w:space="0" w:color="auto"/>
                                <w:bottom w:val="none" w:sz="0" w:space="0" w:color="auto"/>
                                <w:right w:val="none" w:sz="0" w:space="0" w:color="auto"/>
                              </w:divBdr>
                            </w:div>
                            <w:div w:id="1130171511">
                              <w:marLeft w:val="0"/>
                              <w:marRight w:val="0"/>
                              <w:marTop w:val="0"/>
                              <w:marBottom w:val="0"/>
                              <w:divBdr>
                                <w:top w:val="none" w:sz="0" w:space="0" w:color="auto"/>
                                <w:left w:val="none" w:sz="0" w:space="0" w:color="auto"/>
                                <w:bottom w:val="none" w:sz="0" w:space="0" w:color="auto"/>
                                <w:right w:val="none" w:sz="0" w:space="0" w:color="auto"/>
                              </w:divBdr>
                            </w:div>
                            <w:div w:id="1316105217">
                              <w:marLeft w:val="0"/>
                              <w:marRight w:val="0"/>
                              <w:marTop w:val="0"/>
                              <w:marBottom w:val="0"/>
                              <w:divBdr>
                                <w:top w:val="none" w:sz="0" w:space="0" w:color="auto"/>
                                <w:left w:val="none" w:sz="0" w:space="0" w:color="auto"/>
                                <w:bottom w:val="none" w:sz="0" w:space="0" w:color="auto"/>
                                <w:right w:val="none" w:sz="0" w:space="0" w:color="auto"/>
                              </w:divBdr>
                            </w:div>
                            <w:div w:id="771390914">
                              <w:marLeft w:val="0"/>
                              <w:marRight w:val="0"/>
                              <w:marTop w:val="0"/>
                              <w:marBottom w:val="0"/>
                              <w:divBdr>
                                <w:top w:val="none" w:sz="0" w:space="0" w:color="auto"/>
                                <w:left w:val="none" w:sz="0" w:space="0" w:color="auto"/>
                                <w:bottom w:val="none" w:sz="0" w:space="0" w:color="auto"/>
                                <w:right w:val="none" w:sz="0" w:space="0" w:color="auto"/>
                              </w:divBdr>
                            </w:div>
                            <w:div w:id="713584482">
                              <w:marLeft w:val="0"/>
                              <w:marRight w:val="0"/>
                              <w:marTop w:val="0"/>
                              <w:marBottom w:val="0"/>
                              <w:divBdr>
                                <w:top w:val="none" w:sz="0" w:space="0" w:color="auto"/>
                                <w:left w:val="none" w:sz="0" w:space="0" w:color="auto"/>
                                <w:bottom w:val="none" w:sz="0" w:space="0" w:color="auto"/>
                                <w:right w:val="none" w:sz="0" w:space="0" w:color="auto"/>
                              </w:divBdr>
                            </w:div>
                            <w:div w:id="474688980">
                              <w:marLeft w:val="0"/>
                              <w:marRight w:val="0"/>
                              <w:marTop w:val="0"/>
                              <w:marBottom w:val="0"/>
                              <w:divBdr>
                                <w:top w:val="none" w:sz="0" w:space="0" w:color="auto"/>
                                <w:left w:val="none" w:sz="0" w:space="0" w:color="auto"/>
                                <w:bottom w:val="none" w:sz="0" w:space="0" w:color="auto"/>
                                <w:right w:val="none" w:sz="0" w:space="0" w:color="auto"/>
                              </w:divBdr>
                            </w:div>
                            <w:div w:id="646128683">
                              <w:marLeft w:val="0"/>
                              <w:marRight w:val="0"/>
                              <w:marTop w:val="0"/>
                              <w:marBottom w:val="0"/>
                              <w:divBdr>
                                <w:top w:val="none" w:sz="0" w:space="0" w:color="auto"/>
                                <w:left w:val="none" w:sz="0" w:space="0" w:color="auto"/>
                                <w:bottom w:val="none" w:sz="0" w:space="0" w:color="auto"/>
                                <w:right w:val="none" w:sz="0" w:space="0" w:color="auto"/>
                              </w:divBdr>
                            </w:div>
                            <w:div w:id="269554496">
                              <w:marLeft w:val="0"/>
                              <w:marRight w:val="0"/>
                              <w:marTop w:val="0"/>
                              <w:marBottom w:val="0"/>
                              <w:divBdr>
                                <w:top w:val="none" w:sz="0" w:space="0" w:color="auto"/>
                                <w:left w:val="none" w:sz="0" w:space="0" w:color="auto"/>
                                <w:bottom w:val="none" w:sz="0" w:space="0" w:color="auto"/>
                                <w:right w:val="none" w:sz="0" w:space="0" w:color="auto"/>
                              </w:divBdr>
                            </w:div>
                            <w:div w:id="381446483">
                              <w:marLeft w:val="0"/>
                              <w:marRight w:val="0"/>
                              <w:marTop w:val="0"/>
                              <w:marBottom w:val="0"/>
                              <w:divBdr>
                                <w:top w:val="none" w:sz="0" w:space="0" w:color="auto"/>
                                <w:left w:val="none" w:sz="0" w:space="0" w:color="auto"/>
                                <w:bottom w:val="none" w:sz="0" w:space="0" w:color="auto"/>
                                <w:right w:val="none" w:sz="0" w:space="0" w:color="auto"/>
                              </w:divBdr>
                            </w:div>
                            <w:div w:id="871847617">
                              <w:marLeft w:val="0"/>
                              <w:marRight w:val="0"/>
                              <w:marTop w:val="0"/>
                              <w:marBottom w:val="0"/>
                              <w:divBdr>
                                <w:top w:val="none" w:sz="0" w:space="0" w:color="auto"/>
                                <w:left w:val="none" w:sz="0" w:space="0" w:color="auto"/>
                                <w:bottom w:val="none" w:sz="0" w:space="0" w:color="auto"/>
                                <w:right w:val="none" w:sz="0" w:space="0" w:color="auto"/>
                              </w:divBdr>
                            </w:div>
                            <w:div w:id="125752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a.org/transforminglibraries/future/trends/incomeinequality" TargetMode="External"/><Relationship Id="rId13" Type="http://schemas.openxmlformats.org/officeDocument/2006/relationships/hyperlink" Target="http://www.ala.org/transforminglibraries/future/trends/incomeinequality" TargetMode="External"/><Relationship Id="rId18" Type="http://schemas.openxmlformats.org/officeDocument/2006/relationships/hyperlink" Target="http://cepa.stanford.edu/content/widening-academic-achievement-gap-between-rich-and-poor-new-evidence-and-possible" TargetMode="External"/><Relationship Id="rId26" Type="http://schemas.openxmlformats.org/officeDocument/2006/relationships/hyperlink" Target="http://www.reuters.com/subjects/income-inequality/massachusetts" TargetMode="External"/><Relationship Id="rId39" Type="http://schemas.openxmlformats.org/officeDocument/2006/relationships/hyperlink" Target="http://cityobservatory.org/less-in-common/" TargetMode="External"/><Relationship Id="rId3" Type="http://schemas.openxmlformats.org/officeDocument/2006/relationships/webSettings" Target="webSettings.xml"/><Relationship Id="rId21" Type="http://schemas.openxmlformats.org/officeDocument/2006/relationships/hyperlink" Target="http://www.ala.org/transforminglibraries/future/trends/incomeinequality" TargetMode="External"/><Relationship Id="rId34" Type="http://schemas.openxmlformats.org/officeDocument/2006/relationships/hyperlink" Target="http://blogs.wsj.com/washwire/2015/07/21/four-charts-that-show-the-opportunity-gap-isnt-going-away/" TargetMode="External"/><Relationship Id="rId42" Type="http://schemas.openxmlformats.org/officeDocument/2006/relationships/theme" Target="theme/theme1.xml"/><Relationship Id="rId7" Type="http://schemas.openxmlformats.org/officeDocument/2006/relationships/hyperlink" Target="http://www.ala.org/transforminglibraries/future/trends/incomeinequality" TargetMode="External"/><Relationship Id="rId12" Type="http://schemas.openxmlformats.org/officeDocument/2006/relationships/hyperlink" Target="http://www.ala.org/transforminglibraries/future/trends/incomeinequality" TargetMode="External"/><Relationship Id="rId17" Type="http://schemas.openxmlformats.org/officeDocument/2006/relationships/hyperlink" Target="http://www.ala.org/transforminglibraries/future/trends/incomeinequality" TargetMode="External"/><Relationship Id="rId25" Type="http://schemas.openxmlformats.org/officeDocument/2006/relationships/hyperlink" Target="http://www.technologyreview.com/featuredstory/531726/technology-and-inequality/" TargetMode="External"/><Relationship Id="rId33" Type="http://schemas.openxmlformats.org/officeDocument/2006/relationships/hyperlink" Target="http://www.reuters.com/subjects/income-inequality/indiana" TargetMode="External"/><Relationship Id="rId38" Type="http://schemas.openxmlformats.org/officeDocument/2006/relationships/hyperlink" Target="http://cityobservatory.org/wp-content/files/CityObservatory_Less_In_Common.pdf" TargetMode="External"/><Relationship Id="rId2" Type="http://schemas.openxmlformats.org/officeDocument/2006/relationships/settings" Target="settings.xml"/><Relationship Id="rId16" Type="http://schemas.openxmlformats.org/officeDocument/2006/relationships/hyperlink" Target="http://www.ala.org/transforminglibraries/future/trends/incomeinequality" TargetMode="External"/><Relationship Id="rId20" Type="http://schemas.openxmlformats.org/officeDocument/2006/relationships/hyperlink" Target="http://www.ala.org/transforminglibraries/future/trends/incomeinequality" TargetMode="External"/><Relationship Id="rId29" Type="http://schemas.openxmlformats.org/officeDocument/2006/relationships/hyperlink" Target="http://www.fastcoexist.com/3047269/this-calculator-will-tell-you-if-a-robot-is-coming-for"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ala.org/transforminglibraries/future/trends/incomeinequality" TargetMode="External"/><Relationship Id="rId11" Type="http://schemas.openxmlformats.org/officeDocument/2006/relationships/hyperlink" Target="http://www.ala.org/transforminglibraries/future/trends/incomeinequality" TargetMode="External"/><Relationship Id="rId24" Type="http://schemas.openxmlformats.org/officeDocument/2006/relationships/hyperlink" Target="http://inequality.org/income-inequality/" TargetMode="External"/><Relationship Id="rId32" Type="http://schemas.openxmlformats.org/officeDocument/2006/relationships/hyperlink" Target="http://www.washingtonpost.com/blogs/wonkblog/wp/2015/05/21/how-uber-type-jobs-are-driving-inequality-and-what-to-do-about-it/" TargetMode="External"/><Relationship Id="rId37" Type="http://schemas.openxmlformats.org/officeDocument/2006/relationships/hyperlink" Target="http://www.usnews.com/news/articles/2014/10/16/no-easy-answer-for-rising-income-inequality" TargetMode="External"/><Relationship Id="rId40" Type="http://schemas.openxmlformats.org/officeDocument/2006/relationships/hyperlink" Target="http://www.brookings.edu/research/reports2/2015/03/city-inequality-berube-holmes" TargetMode="External"/><Relationship Id="rId5" Type="http://schemas.openxmlformats.org/officeDocument/2006/relationships/hyperlink" Target="http://www.ala.org/transforminglibraries/future/trends/incomeinequality" TargetMode="External"/><Relationship Id="rId15" Type="http://schemas.openxmlformats.org/officeDocument/2006/relationships/hyperlink" Target="http://www.ala.org/transforminglibraries/future/trends/incomeinequality" TargetMode="External"/><Relationship Id="rId23" Type="http://schemas.openxmlformats.org/officeDocument/2006/relationships/hyperlink" Target="http://www.whitehouse.gov/the-press-office/2013/12/04/remarks-president-economic-mobility" TargetMode="External"/><Relationship Id="rId28" Type="http://schemas.openxmlformats.org/officeDocument/2006/relationships/hyperlink" Target="http://www.reuters.com/subjects/income-inequality/massachusetts" TargetMode="External"/><Relationship Id="rId36" Type="http://schemas.openxmlformats.org/officeDocument/2006/relationships/hyperlink" Target="http://www.reuters.com/subjects/income-inequality/massachusetts" TargetMode="External"/><Relationship Id="rId10" Type="http://schemas.openxmlformats.org/officeDocument/2006/relationships/hyperlink" Target="http://www.ala.org/transforminglibraries/future/trends/incomeinequality" TargetMode="External"/><Relationship Id="rId19" Type="http://schemas.openxmlformats.org/officeDocument/2006/relationships/hyperlink" Target="http://www.ala.org/transforminglibraries/future/trends/incomeinequality" TargetMode="External"/><Relationship Id="rId31" Type="http://schemas.openxmlformats.org/officeDocument/2006/relationships/hyperlink" Target="http://www.washingtonpost.com/blogs/wonkblog/wp/2015/05/21/how-uber-type-jobs-are-driving-inequality-and-what-to-do-about-it/" TargetMode="External"/><Relationship Id="rId4" Type="http://schemas.openxmlformats.org/officeDocument/2006/relationships/image" Target="media/image1.png"/><Relationship Id="rId9" Type="http://schemas.openxmlformats.org/officeDocument/2006/relationships/hyperlink" Target="http://www.ala.org/transforminglibraries/future/trends/incomeinequality" TargetMode="External"/><Relationship Id="rId14" Type="http://schemas.openxmlformats.org/officeDocument/2006/relationships/hyperlink" Target="http://www.ala.org/transforminglibraries/future/trends/incomeinequality" TargetMode="External"/><Relationship Id="rId22" Type="http://schemas.openxmlformats.org/officeDocument/2006/relationships/hyperlink" Target="http://www.ala.org/transforminglibraries/future/trends/incomeinequality" TargetMode="External"/><Relationship Id="rId27" Type="http://schemas.openxmlformats.org/officeDocument/2006/relationships/hyperlink" Target="http://www.pewresearch.org/fact-tank/2013/09/24/the-growing-economic-clout-of-the-college-educated/" TargetMode="External"/><Relationship Id="rId30" Type="http://schemas.openxmlformats.org/officeDocument/2006/relationships/hyperlink" Target="http://www.technologyreview.com/featuredstory/531726/technology-and-inequality/" TargetMode="External"/><Relationship Id="rId35" Type="http://schemas.openxmlformats.org/officeDocument/2006/relationships/hyperlink" Target="http://www.technologyreview.com/featuredstory/531726/technology-and-inequal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2222</Words>
  <Characters>12666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Laughlin</dc:creator>
  <cp:keywords/>
  <dc:description/>
  <cp:lastModifiedBy>Sara Laughlin</cp:lastModifiedBy>
  <cp:revision>2</cp:revision>
  <dcterms:created xsi:type="dcterms:W3CDTF">2015-08-29T18:00:00Z</dcterms:created>
  <dcterms:modified xsi:type="dcterms:W3CDTF">2015-08-31T17:45:00Z</dcterms:modified>
</cp:coreProperties>
</file>