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213" w:rsidRPr="002B1213" w:rsidRDefault="00F67CEE" w:rsidP="002B1213">
      <w:pPr>
        <w:pBdr>
          <w:bottom w:val="single" w:sz="12" w:space="3" w:color="E4E4E4"/>
        </w:pBdr>
        <w:shd w:val="clear" w:color="auto" w:fill="FFFFFF"/>
        <w:spacing w:after="240" w:line="240" w:lineRule="auto"/>
        <w:outlineLvl w:val="0"/>
        <w:rPr>
          <w:rFonts w:ascii="Arial" w:eastAsia="Times New Roman" w:hAnsi="Arial" w:cs="Arial"/>
          <w:b/>
          <w:bCs/>
          <w:color w:val="000000"/>
          <w:kern w:val="36"/>
          <w:sz w:val="55"/>
          <w:szCs w:val="55"/>
        </w:rPr>
      </w:pPr>
      <w:r>
        <w:rPr>
          <w:noProof/>
        </w:rPr>
        <w:drawing>
          <wp:anchor distT="0" distB="0" distL="114300" distR="114300" simplePos="0" relativeHeight="251658240" behindDoc="0" locked="0" layoutInCell="1" allowOverlap="1">
            <wp:simplePos x="914400" y="457200"/>
            <wp:positionH relativeFrom="margin">
              <wp:align>right</wp:align>
            </wp:positionH>
            <wp:positionV relativeFrom="margin">
              <wp:align>top</wp:align>
            </wp:positionV>
            <wp:extent cx="895350" cy="895350"/>
            <wp:effectExtent l="0" t="0" r="0" b="0"/>
            <wp:wrapSquare wrapText="bothSides"/>
            <wp:docPr id="2056" name="Picture 8" descr="Demographics - Category Color Pink"/>
            <wp:cNvGraphicFramePr/>
            <a:graphic xmlns:a="http://schemas.openxmlformats.org/drawingml/2006/main">
              <a:graphicData uri="http://schemas.openxmlformats.org/drawingml/2006/picture">
                <pic:pic xmlns:pic="http://schemas.openxmlformats.org/drawingml/2006/picture">
                  <pic:nvPicPr>
                    <pic:cNvPr id="2056" name="Picture 8" descr="Demographics - Category Color Pink"/>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extLst/>
                  </pic:spPr>
                </pic:pic>
              </a:graphicData>
            </a:graphic>
          </wp:anchor>
        </w:drawing>
      </w:r>
      <w:r w:rsidR="002B1213" w:rsidRPr="002B1213">
        <w:rPr>
          <w:rFonts w:ascii="Arial" w:eastAsia="Times New Roman" w:hAnsi="Arial" w:cs="Arial"/>
          <w:b/>
          <w:bCs/>
          <w:color w:val="000000"/>
          <w:kern w:val="36"/>
          <w:sz w:val="55"/>
          <w:szCs w:val="55"/>
        </w:rPr>
        <w:t>Emerging Adulthood</w:t>
      </w:r>
    </w:p>
    <w:p w:rsidR="006D6C7E" w:rsidRDefault="006D6C7E" w:rsidP="002B1213">
      <w:pPr>
        <w:shd w:val="clear" w:color="auto" w:fill="FFFFFF"/>
        <w:spacing w:after="0" w:line="240" w:lineRule="auto"/>
        <w:rPr>
          <w:rFonts w:ascii="Arial" w:eastAsia="Times New Roman" w:hAnsi="Arial" w:cs="Arial"/>
          <w:color w:val="303030"/>
          <w:sz w:val="20"/>
          <w:szCs w:val="20"/>
        </w:rPr>
      </w:pPr>
    </w:p>
    <w:p w:rsidR="006D6C7E" w:rsidRDefault="006D6C7E" w:rsidP="002B1213">
      <w:pPr>
        <w:shd w:val="clear" w:color="auto" w:fill="FFFFFF"/>
        <w:spacing w:after="0" w:line="240" w:lineRule="auto"/>
        <w:rPr>
          <w:rFonts w:ascii="Arial" w:eastAsia="Times New Roman" w:hAnsi="Arial" w:cs="Arial"/>
          <w:color w:val="303030"/>
          <w:sz w:val="20"/>
          <w:szCs w:val="20"/>
        </w:rPr>
      </w:pPr>
    </w:p>
    <w:p w:rsidR="006D6C7E" w:rsidRDefault="006D6C7E" w:rsidP="002B1213">
      <w:pPr>
        <w:shd w:val="clear" w:color="auto" w:fill="FFFFFF"/>
        <w:spacing w:after="0" w:line="240" w:lineRule="auto"/>
        <w:rPr>
          <w:rFonts w:ascii="Arial" w:eastAsia="Times New Roman" w:hAnsi="Arial" w:cs="Arial"/>
          <w:color w:val="303030"/>
          <w:sz w:val="20"/>
          <w:szCs w:val="20"/>
        </w:rPr>
      </w:pPr>
    </w:p>
    <w:p w:rsidR="002B1213" w:rsidRPr="002B1213" w:rsidRDefault="002B1213" w:rsidP="002B1213">
      <w:pPr>
        <w:shd w:val="clear" w:color="auto" w:fill="FFFFFF"/>
        <w:spacing w:after="0" w:line="240" w:lineRule="auto"/>
        <w:rPr>
          <w:rFonts w:ascii="Arial" w:eastAsia="Times New Roman" w:hAnsi="Arial" w:cs="Arial"/>
          <w:color w:val="303030"/>
          <w:sz w:val="20"/>
          <w:szCs w:val="20"/>
        </w:rPr>
      </w:pPr>
      <w:bookmarkStart w:id="0" w:name="_GoBack"/>
      <w:bookmarkEnd w:id="0"/>
      <w:r w:rsidRPr="002B1213">
        <w:rPr>
          <w:rFonts w:ascii="Arial" w:eastAsia="Times New Roman" w:hAnsi="Arial" w:cs="Arial"/>
          <w:color w:val="303030"/>
          <w:sz w:val="20"/>
          <w:szCs w:val="20"/>
        </w:rPr>
        <w:t xml:space="preserve">Led by the work of the psychology professor Jeffrey </w:t>
      </w:r>
      <w:proofErr w:type="spellStart"/>
      <w:r w:rsidRPr="002B1213">
        <w:rPr>
          <w:rFonts w:ascii="Arial" w:eastAsia="Times New Roman" w:hAnsi="Arial" w:cs="Arial"/>
          <w:color w:val="303030"/>
          <w:sz w:val="20"/>
          <w:szCs w:val="20"/>
        </w:rPr>
        <w:t>Arnet</w:t>
      </w:r>
      <w:proofErr w:type="spellEnd"/>
      <w:r w:rsidRPr="002B1213">
        <w:rPr>
          <w:rFonts w:ascii="Arial" w:eastAsia="Times New Roman" w:hAnsi="Arial" w:cs="Arial"/>
          <w:color w:val="303030"/>
          <w:sz w:val="20"/>
          <w:szCs w:val="20"/>
        </w:rPr>
        <w:t xml:space="preserve"> and his article "</w:t>
      </w:r>
      <w:hyperlink r:id="rId5" w:tgtFrame="_top" w:history="1">
        <w:r w:rsidRPr="002B1213">
          <w:rPr>
            <w:rFonts w:ascii="Arial" w:eastAsia="Times New Roman" w:hAnsi="Arial" w:cs="Arial"/>
            <w:color w:val="1A90B4"/>
            <w:sz w:val="20"/>
            <w:szCs w:val="20"/>
            <w:u w:val="single"/>
          </w:rPr>
          <w:t>Emerging Adulthood: A Theory of Development from the Late Teens Through the Twenties</w:t>
        </w:r>
      </w:hyperlink>
      <w:r w:rsidRPr="002B1213">
        <w:rPr>
          <w:rFonts w:ascii="Arial" w:eastAsia="Times New Roman" w:hAnsi="Arial" w:cs="Arial"/>
          <w:color w:val="303030"/>
          <w:sz w:val="20"/>
          <w:szCs w:val="20"/>
        </w:rPr>
        <w:t>," emerging adulthood considers the period from the late teens through twenties as a time of distinct psychological and behavioral characteristics that in more affluent countries may result in individuals’ taking longer to move out of their parents’ home, involve themselves in a career, get married, and have children. [</w:t>
      </w:r>
      <w:hyperlink r:id="rId6" w:anchor="Notes and Resources" w:history="1">
        <w:r w:rsidRPr="002B1213">
          <w:rPr>
            <w:rFonts w:ascii="Arial" w:eastAsia="Times New Roman" w:hAnsi="Arial" w:cs="Arial"/>
            <w:color w:val="1A90B4"/>
            <w:sz w:val="20"/>
            <w:szCs w:val="20"/>
            <w:u w:val="single"/>
          </w:rPr>
          <w:t>1</w:t>
        </w:r>
      </w:hyperlink>
      <w:r w:rsidRPr="002B1213">
        <w:rPr>
          <w:rFonts w:ascii="Arial" w:eastAsia="Times New Roman" w:hAnsi="Arial" w:cs="Arial"/>
          <w:color w:val="303030"/>
          <w:sz w:val="20"/>
          <w:szCs w:val="20"/>
        </w:rPr>
        <w:t>]  </w:t>
      </w:r>
    </w:p>
    <w:p w:rsidR="002B1213" w:rsidRPr="002B1213" w:rsidRDefault="002B1213" w:rsidP="002B1213">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2B1213">
        <w:rPr>
          <w:rFonts w:ascii="Arial" w:eastAsia="Times New Roman" w:hAnsi="Arial" w:cs="Arial"/>
          <w:b/>
          <w:bCs/>
          <w:color w:val="303030"/>
          <w:sz w:val="27"/>
          <w:szCs w:val="27"/>
        </w:rPr>
        <w:t>How It’s Developing</w:t>
      </w:r>
    </w:p>
    <w:p w:rsidR="002B1213" w:rsidRPr="002B1213" w:rsidRDefault="002B1213" w:rsidP="002B1213">
      <w:pPr>
        <w:shd w:val="clear" w:color="auto" w:fill="FFFFFF"/>
        <w:spacing w:after="0" w:line="240" w:lineRule="auto"/>
        <w:rPr>
          <w:rFonts w:ascii="Arial" w:eastAsia="Times New Roman" w:hAnsi="Arial" w:cs="Arial"/>
          <w:color w:val="303030"/>
          <w:sz w:val="20"/>
          <w:szCs w:val="20"/>
        </w:rPr>
      </w:pPr>
      <w:proofErr w:type="spellStart"/>
      <w:r w:rsidRPr="002B1213">
        <w:rPr>
          <w:rFonts w:ascii="Arial" w:eastAsia="Times New Roman" w:hAnsi="Arial" w:cs="Arial"/>
          <w:color w:val="303030"/>
          <w:sz w:val="20"/>
          <w:szCs w:val="20"/>
        </w:rPr>
        <w:t>Arnet’s</w:t>
      </w:r>
      <w:proofErr w:type="spellEnd"/>
      <w:r w:rsidRPr="002B1213">
        <w:rPr>
          <w:rFonts w:ascii="Arial" w:eastAsia="Times New Roman" w:hAnsi="Arial" w:cs="Arial"/>
          <w:color w:val="303030"/>
          <w:sz w:val="20"/>
          <w:szCs w:val="20"/>
        </w:rPr>
        <w:t xml:space="preserve"> concept of emerging adulthood grows out of his observations of young people from both Generation X and the </w:t>
      </w:r>
      <w:proofErr w:type="gramStart"/>
      <w:r w:rsidRPr="002B1213">
        <w:rPr>
          <w:rFonts w:ascii="Arial" w:eastAsia="Times New Roman" w:hAnsi="Arial" w:cs="Arial"/>
          <w:color w:val="303030"/>
          <w:sz w:val="20"/>
          <w:szCs w:val="20"/>
        </w:rPr>
        <w:t>Millennial</w:t>
      </w:r>
      <w:proofErr w:type="gramEnd"/>
      <w:r w:rsidRPr="002B1213">
        <w:rPr>
          <w:rFonts w:ascii="Arial" w:eastAsia="Times New Roman" w:hAnsi="Arial" w:cs="Arial"/>
          <w:color w:val="303030"/>
          <w:sz w:val="20"/>
          <w:szCs w:val="20"/>
        </w:rPr>
        <w:t xml:space="preserve"> generation and the ways that society, culture, and the economy have created a new period of development. [</w:t>
      </w:r>
      <w:hyperlink r:id="rId7" w:anchor="Notes and Resources" w:history="1">
        <w:r w:rsidRPr="002B1213">
          <w:rPr>
            <w:rFonts w:ascii="Arial" w:eastAsia="Times New Roman" w:hAnsi="Arial" w:cs="Arial"/>
            <w:color w:val="1A90B4"/>
            <w:sz w:val="20"/>
            <w:szCs w:val="20"/>
            <w:u w:val="single"/>
          </w:rPr>
          <w:t>2</w:t>
        </w:r>
      </w:hyperlink>
      <w:r w:rsidRPr="002B1213">
        <w:rPr>
          <w:rFonts w:ascii="Arial" w:eastAsia="Times New Roman" w:hAnsi="Arial" w:cs="Arial"/>
          <w:color w:val="303030"/>
          <w:sz w:val="20"/>
          <w:szCs w:val="20"/>
        </w:rPr>
        <w:t>] Anecdotes and data point to individuals taking longer to achieve sociologists’ five milestones of adulthood – completing school, leaving home, becoming financially independent, marrying, and having a child. [</w:t>
      </w:r>
      <w:hyperlink r:id="rId8" w:anchor="Notes and Resources" w:history="1">
        <w:r w:rsidRPr="002B1213">
          <w:rPr>
            <w:rFonts w:ascii="Arial" w:eastAsia="Times New Roman" w:hAnsi="Arial" w:cs="Arial"/>
            <w:color w:val="1A90B4"/>
            <w:sz w:val="20"/>
            <w:szCs w:val="20"/>
            <w:u w:val="single"/>
          </w:rPr>
          <w:t>3</w:t>
        </w:r>
      </w:hyperlink>
      <w:r w:rsidRPr="002B1213">
        <w:rPr>
          <w:rFonts w:ascii="Arial" w:eastAsia="Times New Roman" w:hAnsi="Arial" w:cs="Arial"/>
          <w:color w:val="303030"/>
          <w:sz w:val="20"/>
          <w:szCs w:val="20"/>
        </w:rPr>
        <w:t>] </w:t>
      </w:r>
    </w:p>
    <w:p w:rsidR="002B1213" w:rsidRPr="002B1213" w:rsidRDefault="002B1213" w:rsidP="002B1213">
      <w:pPr>
        <w:shd w:val="clear" w:color="auto" w:fill="FFFFFF"/>
        <w:spacing w:after="0" w:line="240" w:lineRule="auto"/>
        <w:rPr>
          <w:rFonts w:ascii="Arial" w:eastAsia="Times New Roman" w:hAnsi="Arial" w:cs="Arial"/>
          <w:color w:val="303030"/>
          <w:sz w:val="20"/>
          <w:szCs w:val="20"/>
        </w:rPr>
      </w:pPr>
      <w:r w:rsidRPr="002B1213">
        <w:rPr>
          <w:rFonts w:ascii="Arial" w:eastAsia="Times New Roman" w:hAnsi="Arial" w:cs="Arial"/>
          <w:color w:val="303030"/>
          <w:sz w:val="20"/>
          <w:szCs w:val="20"/>
        </w:rPr>
        <w:t> </w:t>
      </w:r>
    </w:p>
    <w:p w:rsidR="002B1213" w:rsidRPr="002B1213" w:rsidRDefault="002B1213" w:rsidP="002B1213">
      <w:pPr>
        <w:shd w:val="clear" w:color="auto" w:fill="FFFFFF"/>
        <w:spacing w:after="0" w:line="240" w:lineRule="auto"/>
        <w:rPr>
          <w:rFonts w:ascii="Arial" w:eastAsia="Times New Roman" w:hAnsi="Arial" w:cs="Arial"/>
          <w:color w:val="303030"/>
          <w:sz w:val="20"/>
          <w:szCs w:val="20"/>
        </w:rPr>
      </w:pPr>
      <w:r w:rsidRPr="002B1213">
        <w:rPr>
          <w:rFonts w:ascii="Arial" w:eastAsia="Times New Roman" w:hAnsi="Arial" w:cs="Arial"/>
          <w:color w:val="303030"/>
          <w:sz w:val="20"/>
          <w:szCs w:val="20"/>
        </w:rPr>
        <w:t>At the same time, some scientists are exploring biological reasons behind this distinctive period of life, connecting perceived ambivalence and delayed decision-making in twenty-somethings to new findings in brain development. [</w:t>
      </w:r>
      <w:hyperlink r:id="rId9" w:anchor="Notes and Resources" w:history="1">
        <w:r w:rsidRPr="002B1213">
          <w:rPr>
            <w:rFonts w:ascii="Arial" w:eastAsia="Times New Roman" w:hAnsi="Arial" w:cs="Arial"/>
            <w:color w:val="1A90B4"/>
            <w:sz w:val="20"/>
            <w:szCs w:val="20"/>
            <w:u w:val="single"/>
          </w:rPr>
          <w:t>4</w:t>
        </w:r>
      </w:hyperlink>
      <w:r w:rsidRPr="002B1213">
        <w:rPr>
          <w:rFonts w:ascii="Arial" w:eastAsia="Times New Roman" w:hAnsi="Arial" w:cs="Arial"/>
          <w:color w:val="303030"/>
          <w:sz w:val="20"/>
          <w:szCs w:val="20"/>
        </w:rPr>
        <w:t>]</w:t>
      </w:r>
    </w:p>
    <w:p w:rsidR="002B1213" w:rsidRPr="002B1213" w:rsidRDefault="002B1213" w:rsidP="002B1213">
      <w:pPr>
        <w:shd w:val="clear" w:color="auto" w:fill="FFFFFF"/>
        <w:spacing w:after="0" w:line="240" w:lineRule="auto"/>
        <w:rPr>
          <w:rFonts w:ascii="Arial" w:eastAsia="Times New Roman" w:hAnsi="Arial" w:cs="Arial"/>
          <w:color w:val="303030"/>
          <w:sz w:val="20"/>
          <w:szCs w:val="20"/>
        </w:rPr>
      </w:pPr>
      <w:r w:rsidRPr="002B1213">
        <w:rPr>
          <w:rFonts w:ascii="Arial" w:eastAsia="Times New Roman" w:hAnsi="Arial" w:cs="Arial"/>
          <w:color w:val="303030"/>
          <w:sz w:val="20"/>
          <w:szCs w:val="20"/>
        </w:rPr>
        <w:t> </w:t>
      </w:r>
    </w:p>
    <w:p w:rsidR="002B1213" w:rsidRPr="002B1213" w:rsidRDefault="002B1213" w:rsidP="002B1213">
      <w:pPr>
        <w:shd w:val="clear" w:color="auto" w:fill="FFFFFF"/>
        <w:spacing w:after="0" w:line="240" w:lineRule="auto"/>
        <w:rPr>
          <w:rFonts w:ascii="Arial" w:eastAsia="Times New Roman" w:hAnsi="Arial" w:cs="Arial"/>
          <w:color w:val="303030"/>
          <w:sz w:val="20"/>
          <w:szCs w:val="20"/>
        </w:rPr>
      </w:pPr>
      <w:r w:rsidRPr="002B1213">
        <w:rPr>
          <w:rFonts w:ascii="Arial" w:eastAsia="Times New Roman" w:hAnsi="Arial" w:cs="Arial"/>
          <w:color w:val="303030"/>
          <w:sz w:val="20"/>
          <w:szCs w:val="20"/>
        </w:rPr>
        <w:t>The emerging adulthood trend is often associated with circumstances brought on by the recent economic downturn, which provided fewer entry-level jobs for young people, limited housing options, and influenced some young people to extend their academic studies. Even as the economy recovers behaviors for this demographic may not change. The competition within the high-end labor market is stiff, a result of several graduating classes’ competition for positions, the extended careers of those already in the workforce, greater demand for education and experience (e.g. post-graduate internships), more job movement, and candidates’ own preference for stimulating, creative and even glamorous jobs. [</w:t>
      </w:r>
      <w:hyperlink r:id="rId10" w:anchor="Notes and Resources" w:history="1">
        <w:r w:rsidRPr="002B1213">
          <w:rPr>
            <w:rFonts w:ascii="Arial" w:eastAsia="Times New Roman" w:hAnsi="Arial" w:cs="Arial"/>
            <w:color w:val="1A90B4"/>
            <w:sz w:val="20"/>
            <w:szCs w:val="20"/>
            <w:u w:val="single"/>
          </w:rPr>
          <w:t>5</w:t>
        </w:r>
      </w:hyperlink>
      <w:r w:rsidRPr="002B1213">
        <w:rPr>
          <w:rFonts w:ascii="Arial" w:eastAsia="Times New Roman" w:hAnsi="Arial" w:cs="Arial"/>
          <w:color w:val="303030"/>
          <w:sz w:val="20"/>
          <w:szCs w:val="20"/>
        </w:rPr>
        <w:t>] </w:t>
      </w:r>
    </w:p>
    <w:p w:rsidR="002B1213" w:rsidRPr="002B1213" w:rsidRDefault="002B1213" w:rsidP="002B1213">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2B1213">
        <w:rPr>
          <w:rFonts w:ascii="Arial" w:eastAsia="Times New Roman" w:hAnsi="Arial" w:cs="Arial"/>
          <w:b/>
          <w:bCs/>
          <w:color w:val="303030"/>
          <w:sz w:val="27"/>
          <w:szCs w:val="27"/>
        </w:rPr>
        <w:t>Why It Matters</w:t>
      </w:r>
    </w:p>
    <w:p w:rsidR="002B1213" w:rsidRPr="002B1213" w:rsidRDefault="002B1213" w:rsidP="002B1213">
      <w:pPr>
        <w:shd w:val="clear" w:color="auto" w:fill="FFFFFF"/>
        <w:spacing w:after="0" w:line="240" w:lineRule="auto"/>
        <w:rPr>
          <w:rFonts w:ascii="Arial" w:eastAsia="Times New Roman" w:hAnsi="Arial" w:cs="Arial"/>
          <w:color w:val="303030"/>
          <w:sz w:val="20"/>
          <w:szCs w:val="20"/>
        </w:rPr>
      </w:pPr>
      <w:r w:rsidRPr="002B1213">
        <w:rPr>
          <w:rFonts w:ascii="Arial" w:eastAsia="Times New Roman" w:hAnsi="Arial" w:cs="Arial"/>
          <w:color w:val="303030"/>
          <w:sz w:val="20"/>
          <w:szCs w:val="20"/>
        </w:rPr>
        <w:t>Publishing trends, including the “New Adult” genre, demonstrate the opportunities for services and products marketed to those in between established young adult and adult categories. Libraries might also begin thinking about programs and services that capitalize on this demographic, borrowing some ideas from young adult services (video games, media, socials) and adult services (career resources) to appeal to this category. </w:t>
      </w:r>
    </w:p>
    <w:p w:rsidR="002B1213" w:rsidRPr="002B1213" w:rsidRDefault="002B1213" w:rsidP="002B1213">
      <w:pPr>
        <w:shd w:val="clear" w:color="auto" w:fill="FFFFFF"/>
        <w:spacing w:after="0" w:line="240" w:lineRule="auto"/>
        <w:rPr>
          <w:rFonts w:ascii="Arial" w:eastAsia="Times New Roman" w:hAnsi="Arial" w:cs="Arial"/>
          <w:color w:val="303030"/>
          <w:sz w:val="20"/>
          <w:szCs w:val="20"/>
        </w:rPr>
      </w:pPr>
      <w:r w:rsidRPr="002B1213">
        <w:rPr>
          <w:rFonts w:ascii="Arial" w:eastAsia="Times New Roman" w:hAnsi="Arial" w:cs="Arial"/>
          <w:color w:val="303030"/>
          <w:sz w:val="20"/>
          <w:szCs w:val="20"/>
        </w:rPr>
        <w:t> </w:t>
      </w:r>
    </w:p>
    <w:p w:rsidR="002B1213" w:rsidRPr="002B1213" w:rsidRDefault="002B1213" w:rsidP="002B1213">
      <w:pPr>
        <w:shd w:val="clear" w:color="auto" w:fill="FFFFFF"/>
        <w:spacing w:after="0" w:line="240" w:lineRule="auto"/>
        <w:rPr>
          <w:rFonts w:ascii="Arial" w:eastAsia="Times New Roman" w:hAnsi="Arial" w:cs="Arial"/>
          <w:color w:val="303030"/>
          <w:sz w:val="20"/>
          <w:szCs w:val="20"/>
        </w:rPr>
      </w:pPr>
      <w:r w:rsidRPr="002B1213">
        <w:rPr>
          <w:rFonts w:ascii="Arial" w:eastAsia="Times New Roman" w:hAnsi="Arial" w:cs="Arial"/>
          <w:color w:val="303030"/>
          <w:sz w:val="20"/>
          <w:szCs w:val="20"/>
        </w:rPr>
        <w:t>In the same way that adolescence became a recognized developmental stage, leading to distinctions in education, health care, social services, and laws that addressed the specific experiences of teenagers, emerging adulthood may come to be recognized as a distinct developmental stage and warrant similar distinctive accommodations. [</w:t>
      </w:r>
      <w:hyperlink r:id="rId11" w:anchor="Notes and Resources" w:history="1">
        <w:r w:rsidRPr="002B1213">
          <w:rPr>
            <w:rFonts w:ascii="Arial" w:eastAsia="Times New Roman" w:hAnsi="Arial" w:cs="Arial"/>
            <w:color w:val="1A90B4"/>
            <w:sz w:val="20"/>
            <w:szCs w:val="20"/>
            <w:u w:val="single"/>
          </w:rPr>
          <w:t>6</w:t>
        </w:r>
      </w:hyperlink>
      <w:r w:rsidRPr="002B1213">
        <w:rPr>
          <w:rFonts w:ascii="Arial" w:eastAsia="Times New Roman" w:hAnsi="Arial" w:cs="Arial"/>
          <w:color w:val="303030"/>
          <w:sz w:val="20"/>
          <w:szCs w:val="20"/>
        </w:rPr>
        <w:t>] </w:t>
      </w:r>
    </w:p>
    <w:p w:rsidR="002B1213" w:rsidRPr="002B1213" w:rsidRDefault="002B1213" w:rsidP="002B1213">
      <w:pPr>
        <w:shd w:val="clear" w:color="auto" w:fill="FFFFFF"/>
        <w:spacing w:after="0" w:line="240" w:lineRule="auto"/>
        <w:rPr>
          <w:rFonts w:ascii="Arial" w:eastAsia="Times New Roman" w:hAnsi="Arial" w:cs="Arial"/>
          <w:color w:val="303030"/>
          <w:sz w:val="20"/>
          <w:szCs w:val="20"/>
        </w:rPr>
      </w:pPr>
      <w:r w:rsidRPr="002B1213">
        <w:rPr>
          <w:rFonts w:ascii="Arial" w:eastAsia="Times New Roman" w:hAnsi="Arial" w:cs="Arial"/>
          <w:color w:val="303030"/>
          <w:sz w:val="20"/>
          <w:szCs w:val="20"/>
        </w:rPr>
        <w:t> </w:t>
      </w:r>
    </w:p>
    <w:p w:rsidR="002B1213" w:rsidRPr="002B1213" w:rsidRDefault="002B1213" w:rsidP="002B1213">
      <w:pPr>
        <w:shd w:val="clear" w:color="auto" w:fill="FFFFFF"/>
        <w:spacing w:after="0" w:line="240" w:lineRule="auto"/>
        <w:rPr>
          <w:rFonts w:ascii="Arial" w:eastAsia="Times New Roman" w:hAnsi="Arial" w:cs="Arial"/>
          <w:color w:val="303030"/>
          <w:sz w:val="20"/>
          <w:szCs w:val="20"/>
        </w:rPr>
      </w:pPr>
      <w:r w:rsidRPr="002B1213">
        <w:rPr>
          <w:rFonts w:ascii="Arial" w:eastAsia="Times New Roman" w:hAnsi="Arial" w:cs="Arial"/>
          <w:color w:val="303030"/>
          <w:sz w:val="20"/>
          <w:szCs w:val="20"/>
        </w:rPr>
        <w:t>Libraries and librarians interested in connecting with young people in their 20s may be able to capitalize on existing relationships with older adults, especially if, as some research suggests, younger generations experiencing “emerging adulthood” still communicate with and are influenced by their parents. [</w:t>
      </w:r>
      <w:hyperlink r:id="rId12" w:anchor="Notes and Resources" w:history="1">
        <w:r w:rsidRPr="002B1213">
          <w:rPr>
            <w:rFonts w:ascii="Arial" w:eastAsia="Times New Roman" w:hAnsi="Arial" w:cs="Arial"/>
            <w:color w:val="1A90B4"/>
            <w:sz w:val="20"/>
            <w:szCs w:val="20"/>
            <w:u w:val="single"/>
          </w:rPr>
          <w:t>7</w:t>
        </w:r>
      </w:hyperlink>
      <w:r w:rsidRPr="002B1213">
        <w:rPr>
          <w:rFonts w:ascii="Arial" w:eastAsia="Times New Roman" w:hAnsi="Arial" w:cs="Arial"/>
          <w:color w:val="303030"/>
          <w:sz w:val="20"/>
          <w:szCs w:val="20"/>
        </w:rPr>
        <w:t>]</w:t>
      </w:r>
    </w:p>
    <w:p w:rsidR="002B1213" w:rsidRPr="002B1213" w:rsidRDefault="002B1213" w:rsidP="002B1213">
      <w:pPr>
        <w:shd w:val="clear" w:color="auto" w:fill="FFFFFF"/>
        <w:spacing w:after="0" w:line="240" w:lineRule="auto"/>
        <w:rPr>
          <w:rFonts w:ascii="Arial" w:eastAsia="Times New Roman" w:hAnsi="Arial" w:cs="Arial"/>
          <w:color w:val="303030"/>
          <w:sz w:val="20"/>
          <w:szCs w:val="20"/>
        </w:rPr>
      </w:pPr>
      <w:r w:rsidRPr="002B1213">
        <w:rPr>
          <w:rFonts w:ascii="Arial" w:eastAsia="Times New Roman" w:hAnsi="Arial" w:cs="Arial"/>
          <w:color w:val="303030"/>
          <w:sz w:val="20"/>
          <w:szCs w:val="20"/>
        </w:rPr>
        <w:t> </w:t>
      </w:r>
    </w:p>
    <w:p w:rsidR="002B1213" w:rsidRPr="002B1213" w:rsidRDefault="002B1213" w:rsidP="002B1213">
      <w:pPr>
        <w:shd w:val="clear" w:color="auto" w:fill="FFFFFF"/>
        <w:spacing w:line="240" w:lineRule="auto"/>
        <w:rPr>
          <w:rFonts w:ascii="Arial" w:eastAsia="Times New Roman" w:hAnsi="Arial" w:cs="Arial"/>
          <w:color w:val="303030"/>
          <w:sz w:val="20"/>
          <w:szCs w:val="20"/>
        </w:rPr>
      </w:pPr>
      <w:r w:rsidRPr="002B1213">
        <w:rPr>
          <w:rFonts w:ascii="Arial" w:eastAsia="Times New Roman" w:hAnsi="Arial" w:cs="Arial"/>
          <w:color w:val="303030"/>
          <w:sz w:val="20"/>
          <w:szCs w:val="20"/>
        </w:rPr>
        <w:t>Significant changes in home ownership, educational attainment, workforce entry, and even family planning patterns could significantly disrupt communities’ composition and the funding sources that communities generate. If emerging adulthood has a significant enough effect on these patterns, libraries may need to adjust their services and plans. </w:t>
      </w:r>
    </w:p>
    <w:p w:rsidR="006D6C7E" w:rsidRDefault="006D6C7E">
      <w:pPr>
        <w:rPr>
          <w:rFonts w:ascii="Arial" w:eastAsia="Times New Roman" w:hAnsi="Arial" w:cs="Arial"/>
          <w:b/>
          <w:bCs/>
          <w:color w:val="303030"/>
          <w:sz w:val="27"/>
          <w:szCs w:val="27"/>
        </w:rPr>
      </w:pPr>
      <w:bookmarkStart w:id="1" w:name="Notes_and_Resources"/>
      <w:bookmarkEnd w:id="1"/>
      <w:r>
        <w:rPr>
          <w:rFonts w:ascii="Arial" w:eastAsia="Times New Roman" w:hAnsi="Arial" w:cs="Arial"/>
          <w:b/>
          <w:bCs/>
          <w:color w:val="303030"/>
          <w:sz w:val="27"/>
          <w:szCs w:val="27"/>
        </w:rPr>
        <w:br w:type="page"/>
      </w:r>
    </w:p>
    <w:p w:rsidR="002B1213" w:rsidRPr="002B1213" w:rsidRDefault="002B1213" w:rsidP="002B1213">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2B1213">
        <w:rPr>
          <w:rFonts w:ascii="Arial" w:eastAsia="Times New Roman" w:hAnsi="Arial" w:cs="Arial"/>
          <w:b/>
          <w:bCs/>
          <w:color w:val="303030"/>
          <w:sz w:val="27"/>
          <w:szCs w:val="27"/>
        </w:rPr>
        <w:lastRenderedPageBreak/>
        <w:t>Notes and Resources</w:t>
      </w:r>
    </w:p>
    <w:p w:rsidR="002B1213" w:rsidRPr="002B1213" w:rsidRDefault="002B1213" w:rsidP="002B1213">
      <w:pPr>
        <w:shd w:val="clear" w:color="auto" w:fill="FFFFFF"/>
        <w:spacing w:after="0" w:line="240" w:lineRule="auto"/>
        <w:rPr>
          <w:rFonts w:ascii="Arial" w:eastAsia="Times New Roman" w:hAnsi="Arial" w:cs="Arial"/>
          <w:color w:val="303030"/>
          <w:sz w:val="20"/>
          <w:szCs w:val="20"/>
        </w:rPr>
      </w:pPr>
      <w:r w:rsidRPr="002B1213">
        <w:rPr>
          <w:rFonts w:ascii="Arial" w:eastAsia="Times New Roman" w:hAnsi="Arial" w:cs="Arial"/>
          <w:color w:val="303030"/>
          <w:sz w:val="20"/>
          <w:szCs w:val="20"/>
        </w:rPr>
        <w:t>[1] “Is ‘Emerging Adulthood’ Really a Thing? The Secret History of Words for Young People.” Jeff Sherwood. </w:t>
      </w:r>
      <w:r w:rsidRPr="002B1213">
        <w:rPr>
          <w:rFonts w:ascii="Arial" w:eastAsia="Times New Roman" w:hAnsi="Arial" w:cs="Arial"/>
          <w:i/>
          <w:iCs/>
          <w:color w:val="303030"/>
          <w:sz w:val="20"/>
          <w:szCs w:val="20"/>
        </w:rPr>
        <w:t>Slate</w:t>
      </w:r>
      <w:r w:rsidRPr="002B1213">
        <w:rPr>
          <w:rFonts w:ascii="Arial" w:eastAsia="Times New Roman" w:hAnsi="Arial" w:cs="Arial"/>
          <w:color w:val="303030"/>
          <w:sz w:val="20"/>
          <w:szCs w:val="20"/>
        </w:rPr>
        <w:t>. August 22, 2014. Available from </w:t>
      </w:r>
      <w:hyperlink r:id="rId13" w:history="1">
        <w:r w:rsidRPr="002B1213">
          <w:rPr>
            <w:rFonts w:ascii="Arial" w:eastAsia="Times New Roman" w:hAnsi="Arial" w:cs="Arial"/>
            <w:color w:val="1A90B4"/>
            <w:sz w:val="20"/>
            <w:szCs w:val="20"/>
            <w:u w:val="single"/>
          </w:rPr>
          <w:t>http://www.slate.com/blogs/lexicon_valley/2014/08/22/emerging_adults_tee...</w:t>
        </w:r>
      </w:hyperlink>
      <w:r w:rsidRPr="002B1213">
        <w:rPr>
          <w:rFonts w:ascii="Arial" w:eastAsia="Times New Roman" w:hAnsi="Arial" w:cs="Arial"/>
          <w:color w:val="303030"/>
          <w:sz w:val="20"/>
          <w:szCs w:val="20"/>
        </w:rPr>
        <w:t>  </w:t>
      </w:r>
    </w:p>
    <w:p w:rsidR="002B1213" w:rsidRPr="002B1213" w:rsidRDefault="002B1213" w:rsidP="002B1213">
      <w:pPr>
        <w:shd w:val="clear" w:color="auto" w:fill="FFFFFF"/>
        <w:spacing w:after="0" w:line="240" w:lineRule="auto"/>
        <w:rPr>
          <w:rFonts w:ascii="Arial" w:eastAsia="Times New Roman" w:hAnsi="Arial" w:cs="Arial"/>
          <w:color w:val="303030"/>
          <w:sz w:val="20"/>
          <w:szCs w:val="20"/>
        </w:rPr>
      </w:pPr>
      <w:r w:rsidRPr="002B1213">
        <w:rPr>
          <w:rFonts w:ascii="Arial" w:eastAsia="Times New Roman" w:hAnsi="Arial" w:cs="Arial"/>
          <w:color w:val="303030"/>
          <w:sz w:val="20"/>
          <w:szCs w:val="20"/>
        </w:rPr>
        <w:t> </w:t>
      </w:r>
    </w:p>
    <w:p w:rsidR="002B1213" w:rsidRPr="002B1213" w:rsidRDefault="002B1213" w:rsidP="002B1213">
      <w:pPr>
        <w:shd w:val="clear" w:color="auto" w:fill="FFFFFF"/>
        <w:spacing w:after="0" w:line="240" w:lineRule="auto"/>
        <w:rPr>
          <w:rFonts w:ascii="Arial" w:eastAsia="Times New Roman" w:hAnsi="Arial" w:cs="Arial"/>
          <w:color w:val="303030"/>
          <w:sz w:val="20"/>
          <w:szCs w:val="20"/>
        </w:rPr>
      </w:pPr>
      <w:r w:rsidRPr="002B1213">
        <w:rPr>
          <w:rFonts w:ascii="Arial" w:eastAsia="Times New Roman" w:hAnsi="Arial" w:cs="Arial"/>
          <w:color w:val="303030"/>
          <w:sz w:val="20"/>
          <w:szCs w:val="20"/>
        </w:rPr>
        <w:t xml:space="preserve">[2] “The Neuroscience of 20-Somethings.” Ferris </w:t>
      </w:r>
      <w:proofErr w:type="spellStart"/>
      <w:r w:rsidRPr="002B1213">
        <w:rPr>
          <w:rFonts w:ascii="Arial" w:eastAsia="Times New Roman" w:hAnsi="Arial" w:cs="Arial"/>
          <w:color w:val="303030"/>
          <w:sz w:val="20"/>
          <w:szCs w:val="20"/>
        </w:rPr>
        <w:t>Jabr</w:t>
      </w:r>
      <w:proofErr w:type="spellEnd"/>
      <w:r w:rsidRPr="002B1213">
        <w:rPr>
          <w:rFonts w:ascii="Arial" w:eastAsia="Times New Roman" w:hAnsi="Arial" w:cs="Arial"/>
          <w:color w:val="303030"/>
          <w:sz w:val="20"/>
          <w:szCs w:val="20"/>
        </w:rPr>
        <w:t>. </w:t>
      </w:r>
      <w:r w:rsidRPr="002B1213">
        <w:rPr>
          <w:rFonts w:ascii="Arial" w:eastAsia="Times New Roman" w:hAnsi="Arial" w:cs="Arial"/>
          <w:i/>
          <w:iCs/>
          <w:color w:val="303030"/>
          <w:sz w:val="20"/>
          <w:szCs w:val="20"/>
        </w:rPr>
        <w:t>Scientific American</w:t>
      </w:r>
      <w:r w:rsidRPr="002B1213">
        <w:rPr>
          <w:rFonts w:ascii="Arial" w:eastAsia="Times New Roman" w:hAnsi="Arial" w:cs="Arial"/>
          <w:color w:val="303030"/>
          <w:sz w:val="20"/>
          <w:szCs w:val="20"/>
        </w:rPr>
        <w:t>. August 29, 2012. Available from</w:t>
      </w:r>
      <w:hyperlink r:id="rId14" w:history="1">
        <w:r w:rsidRPr="002B1213">
          <w:rPr>
            <w:rFonts w:ascii="Arial" w:eastAsia="Times New Roman" w:hAnsi="Arial" w:cs="Arial"/>
            <w:color w:val="1A90B4"/>
            <w:sz w:val="20"/>
            <w:szCs w:val="20"/>
            <w:u w:val="single"/>
          </w:rPr>
          <w:t>http://blogs.scientificamerican.com/brainwaves/2012/08/29/the-neuroscien...</w:t>
        </w:r>
      </w:hyperlink>
      <w:r w:rsidRPr="002B1213">
        <w:rPr>
          <w:rFonts w:ascii="Arial" w:eastAsia="Times New Roman" w:hAnsi="Arial" w:cs="Arial"/>
          <w:color w:val="303030"/>
          <w:sz w:val="20"/>
          <w:szCs w:val="20"/>
        </w:rPr>
        <w:t> </w:t>
      </w:r>
    </w:p>
    <w:p w:rsidR="002B1213" w:rsidRPr="002B1213" w:rsidRDefault="002B1213" w:rsidP="002B1213">
      <w:pPr>
        <w:shd w:val="clear" w:color="auto" w:fill="FFFFFF"/>
        <w:spacing w:after="0" w:line="240" w:lineRule="auto"/>
        <w:rPr>
          <w:rFonts w:ascii="Arial" w:eastAsia="Times New Roman" w:hAnsi="Arial" w:cs="Arial"/>
          <w:color w:val="303030"/>
          <w:sz w:val="20"/>
          <w:szCs w:val="20"/>
        </w:rPr>
      </w:pPr>
      <w:r w:rsidRPr="002B1213">
        <w:rPr>
          <w:rFonts w:ascii="Arial" w:eastAsia="Times New Roman" w:hAnsi="Arial" w:cs="Arial"/>
          <w:color w:val="303030"/>
          <w:sz w:val="20"/>
          <w:szCs w:val="20"/>
        </w:rPr>
        <w:t> </w:t>
      </w:r>
    </w:p>
    <w:p w:rsidR="002B1213" w:rsidRPr="002B1213" w:rsidRDefault="002B1213" w:rsidP="002B1213">
      <w:pPr>
        <w:shd w:val="clear" w:color="auto" w:fill="FFFFFF"/>
        <w:spacing w:after="0" w:line="240" w:lineRule="auto"/>
        <w:rPr>
          <w:rFonts w:ascii="Arial" w:eastAsia="Times New Roman" w:hAnsi="Arial" w:cs="Arial"/>
          <w:color w:val="303030"/>
          <w:sz w:val="20"/>
          <w:szCs w:val="20"/>
        </w:rPr>
      </w:pPr>
      <w:r w:rsidRPr="002B1213">
        <w:rPr>
          <w:rFonts w:ascii="Arial" w:eastAsia="Times New Roman" w:hAnsi="Arial" w:cs="Arial"/>
          <w:color w:val="303030"/>
          <w:sz w:val="20"/>
          <w:szCs w:val="20"/>
        </w:rPr>
        <w:t>[3] “All Grown Up: Have You Completed the 5 Milestones of Adulthood?” Mary Anne Barone. </w:t>
      </w:r>
      <w:r w:rsidRPr="002B1213">
        <w:rPr>
          <w:rFonts w:ascii="Arial" w:eastAsia="Times New Roman" w:hAnsi="Arial" w:cs="Arial"/>
          <w:i/>
          <w:iCs/>
          <w:color w:val="303030"/>
          <w:sz w:val="20"/>
          <w:szCs w:val="20"/>
        </w:rPr>
        <w:t>The Nest</w:t>
      </w:r>
      <w:r w:rsidRPr="002B1213">
        <w:rPr>
          <w:rFonts w:ascii="Arial" w:eastAsia="Times New Roman" w:hAnsi="Arial" w:cs="Arial"/>
          <w:color w:val="303030"/>
          <w:sz w:val="20"/>
          <w:szCs w:val="20"/>
        </w:rPr>
        <w:t>. May 17, 2012. Available from </w:t>
      </w:r>
      <w:hyperlink r:id="rId15" w:history="1">
        <w:r w:rsidRPr="002B1213">
          <w:rPr>
            <w:rFonts w:ascii="Arial" w:eastAsia="Times New Roman" w:hAnsi="Arial" w:cs="Arial"/>
            <w:color w:val="1A90B4"/>
            <w:sz w:val="20"/>
            <w:szCs w:val="20"/>
            <w:u w:val="single"/>
          </w:rPr>
          <w:t>http://blog.thenest.com/2012/05/17/all-grown-up-have-you-completed-the-5...</w:t>
        </w:r>
      </w:hyperlink>
      <w:r w:rsidRPr="002B1213">
        <w:rPr>
          <w:rFonts w:ascii="Arial" w:eastAsia="Times New Roman" w:hAnsi="Arial" w:cs="Arial"/>
          <w:color w:val="303030"/>
          <w:sz w:val="20"/>
          <w:szCs w:val="20"/>
        </w:rPr>
        <w:t> </w:t>
      </w:r>
    </w:p>
    <w:p w:rsidR="002B1213" w:rsidRPr="002B1213" w:rsidRDefault="002B1213" w:rsidP="002B1213">
      <w:pPr>
        <w:shd w:val="clear" w:color="auto" w:fill="FFFFFF"/>
        <w:spacing w:after="0" w:line="240" w:lineRule="auto"/>
        <w:rPr>
          <w:rFonts w:ascii="Arial" w:eastAsia="Times New Roman" w:hAnsi="Arial" w:cs="Arial"/>
          <w:color w:val="303030"/>
          <w:sz w:val="20"/>
          <w:szCs w:val="20"/>
        </w:rPr>
      </w:pPr>
      <w:r w:rsidRPr="002B1213">
        <w:rPr>
          <w:rFonts w:ascii="Arial" w:eastAsia="Times New Roman" w:hAnsi="Arial" w:cs="Arial"/>
          <w:color w:val="303030"/>
          <w:sz w:val="20"/>
          <w:szCs w:val="20"/>
        </w:rPr>
        <w:t> </w:t>
      </w:r>
    </w:p>
    <w:p w:rsidR="002B1213" w:rsidRPr="002B1213" w:rsidRDefault="002B1213" w:rsidP="002B1213">
      <w:pPr>
        <w:shd w:val="clear" w:color="auto" w:fill="FFFFFF"/>
        <w:spacing w:after="0" w:line="240" w:lineRule="auto"/>
        <w:rPr>
          <w:rFonts w:ascii="Arial" w:eastAsia="Times New Roman" w:hAnsi="Arial" w:cs="Arial"/>
          <w:color w:val="303030"/>
          <w:sz w:val="20"/>
          <w:szCs w:val="20"/>
        </w:rPr>
      </w:pPr>
      <w:r w:rsidRPr="002B1213">
        <w:rPr>
          <w:rFonts w:ascii="Arial" w:eastAsia="Times New Roman" w:hAnsi="Arial" w:cs="Arial"/>
          <w:color w:val="303030"/>
          <w:sz w:val="20"/>
          <w:szCs w:val="20"/>
        </w:rPr>
        <w:t xml:space="preserve">[4] “The Neuroscience of 20-Somethings.” Ferris </w:t>
      </w:r>
      <w:proofErr w:type="spellStart"/>
      <w:r w:rsidRPr="002B1213">
        <w:rPr>
          <w:rFonts w:ascii="Arial" w:eastAsia="Times New Roman" w:hAnsi="Arial" w:cs="Arial"/>
          <w:color w:val="303030"/>
          <w:sz w:val="20"/>
          <w:szCs w:val="20"/>
        </w:rPr>
        <w:t>Jabr</w:t>
      </w:r>
      <w:proofErr w:type="spellEnd"/>
      <w:r w:rsidRPr="002B1213">
        <w:rPr>
          <w:rFonts w:ascii="Arial" w:eastAsia="Times New Roman" w:hAnsi="Arial" w:cs="Arial"/>
          <w:color w:val="303030"/>
          <w:sz w:val="20"/>
          <w:szCs w:val="20"/>
        </w:rPr>
        <w:t>. </w:t>
      </w:r>
      <w:r w:rsidRPr="002B1213">
        <w:rPr>
          <w:rFonts w:ascii="Arial" w:eastAsia="Times New Roman" w:hAnsi="Arial" w:cs="Arial"/>
          <w:i/>
          <w:iCs/>
          <w:color w:val="303030"/>
          <w:sz w:val="20"/>
          <w:szCs w:val="20"/>
        </w:rPr>
        <w:t>Scientific American</w:t>
      </w:r>
      <w:r w:rsidRPr="002B1213">
        <w:rPr>
          <w:rFonts w:ascii="Arial" w:eastAsia="Times New Roman" w:hAnsi="Arial" w:cs="Arial"/>
          <w:color w:val="303030"/>
          <w:sz w:val="20"/>
          <w:szCs w:val="20"/>
        </w:rPr>
        <w:t>. August 29, 2012. Available from</w:t>
      </w:r>
      <w:hyperlink r:id="rId16" w:history="1">
        <w:r w:rsidRPr="002B1213">
          <w:rPr>
            <w:rFonts w:ascii="Arial" w:eastAsia="Times New Roman" w:hAnsi="Arial" w:cs="Arial"/>
            <w:color w:val="1A90B4"/>
            <w:sz w:val="20"/>
            <w:szCs w:val="20"/>
            <w:u w:val="single"/>
          </w:rPr>
          <w:t>http://blogs.scientificamerican.com/brainwaves/2012/08/29/the-neuroscien...</w:t>
        </w:r>
      </w:hyperlink>
    </w:p>
    <w:p w:rsidR="002B1213" w:rsidRPr="002B1213" w:rsidRDefault="002B1213" w:rsidP="002B1213">
      <w:pPr>
        <w:shd w:val="clear" w:color="auto" w:fill="FFFFFF"/>
        <w:spacing w:after="0" w:line="240" w:lineRule="auto"/>
        <w:rPr>
          <w:rFonts w:ascii="Arial" w:eastAsia="Times New Roman" w:hAnsi="Arial" w:cs="Arial"/>
          <w:color w:val="303030"/>
          <w:sz w:val="20"/>
          <w:szCs w:val="20"/>
        </w:rPr>
      </w:pPr>
      <w:r w:rsidRPr="002B1213">
        <w:rPr>
          <w:rFonts w:ascii="Arial" w:eastAsia="Times New Roman" w:hAnsi="Arial" w:cs="Arial"/>
          <w:color w:val="303030"/>
          <w:sz w:val="20"/>
          <w:szCs w:val="20"/>
        </w:rPr>
        <w:t> </w:t>
      </w:r>
    </w:p>
    <w:p w:rsidR="002B1213" w:rsidRPr="002B1213" w:rsidRDefault="002B1213" w:rsidP="002B1213">
      <w:pPr>
        <w:shd w:val="clear" w:color="auto" w:fill="FFFFFF"/>
        <w:spacing w:after="0" w:line="240" w:lineRule="auto"/>
        <w:rPr>
          <w:rFonts w:ascii="Arial" w:eastAsia="Times New Roman" w:hAnsi="Arial" w:cs="Arial"/>
          <w:color w:val="303030"/>
          <w:sz w:val="20"/>
          <w:szCs w:val="20"/>
        </w:rPr>
      </w:pPr>
      <w:r w:rsidRPr="002B1213">
        <w:rPr>
          <w:rFonts w:ascii="Arial" w:eastAsia="Times New Roman" w:hAnsi="Arial" w:cs="Arial"/>
          <w:color w:val="303030"/>
          <w:sz w:val="20"/>
          <w:szCs w:val="20"/>
        </w:rPr>
        <w:t xml:space="preserve">[5] “Where Have the Good Men Gone?” Kay S. </w:t>
      </w:r>
      <w:proofErr w:type="spellStart"/>
      <w:r w:rsidRPr="002B1213">
        <w:rPr>
          <w:rFonts w:ascii="Arial" w:eastAsia="Times New Roman" w:hAnsi="Arial" w:cs="Arial"/>
          <w:color w:val="303030"/>
          <w:sz w:val="20"/>
          <w:szCs w:val="20"/>
        </w:rPr>
        <w:t>Hymowitz</w:t>
      </w:r>
      <w:proofErr w:type="spellEnd"/>
      <w:r w:rsidRPr="002B1213">
        <w:rPr>
          <w:rFonts w:ascii="Arial" w:eastAsia="Times New Roman" w:hAnsi="Arial" w:cs="Arial"/>
          <w:color w:val="303030"/>
          <w:sz w:val="20"/>
          <w:szCs w:val="20"/>
        </w:rPr>
        <w:t>. </w:t>
      </w:r>
      <w:r w:rsidRPr="002B1213">
        <w:rPr>
          <w:rFonts w:ascii="Arial" w:eastAsia="Times New Roman" w:hAnsi="Arial" w:cs="Arial"/>
          <w:i/>
          <w:iCs/>
          <w:color w:val="303030"/>
          <w:sz w:val="20"/>
          <w:szCs w:val="20"/>
        </w:rPr>
        <w:t>The Wall Street Journal</w:t>
      </w:r>
      <w:r w:rsidRPr="002B1213">
        <w:rPr>
          <w:rFonts w:ascii="Arial" w:eastAsia="Times New Roman" w:hAnsi="Arial" w:cs="Arial"/>
          <w:color w:val="303030"/>
          <w:sz w:val="20"/>
          <w:szCs w:val="20"/>
        </w:rPr>
        <w:t>. February 19, 2011. Available from</w:t>
      </w:r>
      <w:hyperlink r:id="rId17" w:history="1">
        <w:r w:rsidRPr="002B1213">
          <w:rPr>
            <w:rFonts w:ascii="Arial" w:eastAsia="Times New Roman" w:hAnsi="Arial" w:cs="Arial"/>
            <w:color w:val="1A90B4"/>
            <w:sz w:val="20"/>
            <w:szCs w:val="20"/>
            <w:u w:val="single"/>
          </w:rPr>
          <w:t>http://www.wsj.com/articles/SB10001424052748704409004576146321725889448</w:t>
        </w:r>
      </w:hyperlink>
    </w:p>
    <w:p w:rsidR="002B1213" w:rsidRPr="002B1213" w:rsidRDefault="002B1213" w:rsidP="002B1213">
      <w:pPr>
        <w:shd w:val="clear" w:color="auto" w:fill="FFFFFF"/>
        <w:spacing w:after="0" w:line="240" w:lineRule="auto"/>
        <w:rPr>
          <w:rFonts w:ascii="Arial" w:eastAsia="Times New Roman" w:hAnsi="Arial" w:cs="Arial"/>
          <w:color w:val="303030"/>
          <w:sz w:val="20"/>
          <w:szCs w:val="20"/>
        </w:rPr>
      </w:pPr>
      <w:r w:rsidRPr="002B1213">
        <w:rPr>
          <w:rFonts w:ascii="Arial" w:eastAsia="Times New Roman" w:hAnsi="Arial" w:cs="Arial"/>
          <w:color w:val="303030"/>
          <w:sz w:val="20"/>
          <w:szCs w:val="20"/>
        </w:rPr>
        <w:t> </w:t>
      </w:r>
    </w:p>
    <w:p w:rsidR="002B1213" w:rsidRPr="002B1213" w:rsidRDefault="002B1213" w:rsidP="002B1213">
      <w:pPr>
        <w:shd w:val="clear" w:color="auto" w:fill="FFFFFF"/>
        <w:spacing w:after="0" w:line="240" w:lineRule="auto"/>
        <w:rPr>
          <w:rFonts w:ascii="Arial" w:eastAsia="Times New Roman" w:hAnsi="Arial" w:cs="Arial"/>
          <w:color w:val="303030"/>
          <w:sz w:val="20"/>
          <w:szCs w:val="20"/>
        </w:rPr>
      </w:pPr>
      <w:r w:rsidRPr="002B1213">
        <w:rPr>
          <w:rFonts w:ascii="Arial" w:eastAsia="Times New Roman" w:hAnsi="Arial" w:cs="Arial"/>
          <w:color w:val="303030"/>
          <w:sz w:val="20"/>
          <w:szCs w:val="20"/>
        </w:rPr>
        <w:t>[6] “What is It About 20-Somethings?” Robin Marantz Henig. </w:t>
      </w:r>
      <w:r w:rsidRPr="002B1213">
        <w:rPr>
          <w:rFonts w:ascii="Arial" w:eastAsia="Times New Roman" w:hAnsi="Arial" w:cs="Arial"/>
          <w:i/>
          <w:iCs/>
          <w:color w:val="303030"/>
          <w:sz w:val="20"/>
          <w:szCs w:val="20"/>
        </w:rPr>
        <w:t>The New York Times</w:t>
      </w:r>
      <w:r w:rsidRPr="002B1213">
        <w:rPr>
          <w:rFonts w:ascii="Arial" w:eastAsia="Times New Roman" w:hAnsi="Arial" w:cs="Arial"/>
          <w:color w:val="303030"/>
          <w:sz w:val="20"/>
          <w:szCs w:val="20"/>
        </w:rPr>
        <w:t>. August 18, 2010. Available from</w:t>
      </w:r>
      <w:hyperlink r:id="rId18" w:history="1">
        <w:r w:rsidRPr="002B1213">
          <w:rPr>
            <w:rFonts w:ascii="Arial" w:eastAsia="Times New Roman" w:hAnsi="Arial" w:cs="Arial"/>
            <w:color w:val="1A90B4"/>
            <w:sz w:val="20"/>
            <w:szCs w:val="20"/>
            <w:u w:val="single"/>
          </w:rPr>
          <w:t>http://www.nytimes.com/2010/08/22/magazine/22Adulthood-t.html</w:t>
        </w:r>
      </w:hyperlink>
      <w:r w:rsidRPr="002B1213">
        <w:rPr>
          <w:rFonts w:ascii="Arial" w:eastAsia="Times New Roman" w:hAnsi="Arial" w:cs="Arial"/>
          <w:color w:val="303030"/>
          <w:sz w:val="20"/>
          <w:szCs w:val="20"/>
        </w:rPr>
        <w:t> </w:t>
      </w:r>
    </w:p>
    <w:p w:rsidR="002B1213" w:rsidRPr="002B1213" w:rsidRDefault="002B1213" w:rsidP="002B1213">
      <w:pPr>
        <w:shd w:val="clear" w:color="auto" w:fill="FFFFFF"/>
        <w:spacing w:after="0" w:line="240" w:lineRule="auto"/>
        <w:rPr>
          <w:rFonts w:ascii="Arial" w:eastAsia="Times New Roman" w:hAnsi="Arial" w:cs="Arial"/>
          <w:color w:val="303030"/>
          <w:sz w:val="20"/>
          <w:szCs w:val="20"/>
        </w:rPr>
      </w:pPr>
      <w:r w:rsidRPr="002B1213">
        <w:rPr>
          <w:rFonts w:ascii="Arial" w:eastAsia="Times New Roman" w:hAnsi="Arial" w:cs="Arial"/>
          <w:color w:val="303030"/>
          <w:sz w:val="20"/>
          <w:szCs w:val="20"/>
        </w:rPr>
        <w:t> </w:t>
      </w:r>
    </w:p>
    <w:p w:rsidR="002B1213" w:rsidRPr="002B1213" w:rsidRDefault="002B1213" w:rsidP="002B1213">
      <w:pPr>
        <w:shd w:val="clear" w:color="auto" w:fill="FFFFFF"/>
        <w:spacing w:after="0" w:line="240" w:lineRule="auto"/>
        <w:rPr>
          <w:rFonts w:ascii="Arial" w:eastAsia="Times New Roman" w:hAnsi="Arial" w:cs="Arial"/>
          <w:color w:val="303030"/>
          <w:sz w:val="20"/>
          <w:szCs w:val="20"/>
        </w:rPr>
      </w:pPr>
      <w:r w:rsidRPr="002B1213">
        <w:rPr>
          <w:rFonts w:ascii="Arial" w:eastAsia="Times New Roman" w:hAnsi="Arial" w:cs="Arial"/>
          <w:color w:val="303030"/>
          <w:sz w:val="20"/>
          <w:szCs w:val="20"/>
        </w:rPr>
        <w:t xml:space="preserve">[7] “You Can Go Home Again.” Karen L. </w:t>
      </w:r>
      <w:proofErr w:type="spellStart"/>
      <w:r w:rsidRPr="002B1213">
        <w:rPr>
          <w:rFonts w:ascii="Arial" w:eastAsia="Times New Roman" w:hAnsi="Arial" w:cs="Arial"/>
          <w:color w:val="303030"/>
          <w:sz w:val="20"/>
          <w:szCs w:val="20"/>
        </w:rPr>
        <w:t>Fingerman</w:t>
      </w:r>
      <w:proofErr w:type="spellEnd"/>
      <w:r w:rsidRPr="002B1213">
        <w:rPr>
          <w:rFonts w:ascii="Arial" w:eastAsia="Times New Roman" w:hAnsi="Arial" w:cs="Arial"/>
          <w:color w:val="303030"/>
          <w:sz w:val="20"/>
          <w:szCs w:val="20"/>
        </w:rPr>
        <w:t xml:space="preserve"> and Frank F. </w:t>
      </w:r>
      <w:proofErr w:type="spellStart"/>
      <w:r w:rsidRPr="002B1213">
        <w:rPr>
          <w:rFonts w:ascii="Arial" w:eastAsia="Times New Roman" w:hAnsi="Arial" w:cs="Arial"/>
          <w:color w:val="303030"/>
          <w:sz w:val="20"/>
          <w:szCs w:val="20"/>
        </w:rPr>
        <w:t>Furstenburg</w:t>
      </w:r>
      <w:proofErr w:type="spellEnd"/>
      <w:r w:rsidRPr="002B1213">
        <w:rPr>
          <w:rFonts w:ascii="Arial" w:eastAsia="Times New Roman" w:hAnsi="Arial" w:cs="Arial"/>
          <w:color w:val="303030"/>
          <w:sz w:val="20"/>
          <w:szCs w:val="20"/>
        </w:rPr>
        <w:t>. </w:t>
      </w:r>
      <w:r w:rsidRPr="002B1213">
        <w:rPr>
          <w:rFonts w:ascii="Arial" w:eastAsia="Times New Roman" w:hAnsi="Arial" w:cs="Arial"/>
          <w:i/>
          <w:iCs/>
          <w:color w:val="303030"/>
          <w:sz w:val="20"/>
          <w:szCs w:val="20"/>
        </w:rPr>
        <w:t>The New York Times</w:t>
      </w:r>
      <w:r w:rsidRPr="002B1213">
        <w:rPr>
          <w:rFonts w:ascii="Arial" w:eastAsia="Times New Roman" w:hAnsi="Arial" w:cs="Arial"/>
          <w:color w:val="303030"/>
          <w:sz w:val="20"/>
          <w:szCs w:val="20"/>
        </w:rPr>
        <w:t>. May 30, 2012. Available from </w:t>
      </w:r>
      <w:hyperlink r:id="rId19" w:history="1">
        <w:r w:rsidRPr="002B1213">
          <w:rPr>
            <w:rFonts w:ascii="Arial" w:eastAsia="Times New Roman" w:hAnsi="Arial" w:cs="Arial"/>
            <w:color w:val="1A90B4"/>
            <w:sz w:val="20"/>
            <w:szCs w:val="20"/>
            <w:u w:val="single"/>
          </w:rPr>
          <w:t>http://www.nytimes.com/2012/05/31/opinion/the-parent-trap.html</w:t>
        </w:r>
      </w:hyperlink>
      <w:r w:rsidRPr="002B1213">
        <w:rPr>
          <w:rFonts w:ascii="Arial" w:eastAsia="Times New Roman" w:hAnsi="Arial" w:cs="Arial"/>
          <w:color w:val="303030"/>
          <w:sz w:val="20"/>
          <w:szCs w:val="20"/>
        </w:rPr>
        <w:t> </w:t>
      </w:r>
    </w:p>
    <w:p w:rsidR="008B6A94" w:rsidRDefault="008B6A94"/>
    <w:sectPr w:rsidR="008B6A94" w:rsidSect="00F67CE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13"/>
    <w:rsid w:val="002B1213"/>
    <w:rsid w:val="006D6C7E"/>
    <w:rsid w:val="008B6A94"/>
    <w:rsid w:val="00F6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92F82-2C53-4C6D-BA91-B978CA0B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12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B12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21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B121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B1213"/>
    <w:rPr>
      <w:color w:val="0000FF"/>
      <w:u w:val="single"/>
    </w:rPr>
  </w:style>
  <w:style w:type="character" w:customStyle="1" w:styleId="apple-converted-space">
    <w:name w:val="apple-converted-space"/>
    <w:basedOn w:val="DefaultParagraphFont"/>
    <w:rsid w:val="002B1213"/>
  </w:style>
  <w:style w:type="character" w:styleId="Emphasis">
    <w:name w:val="Emphasis"/>
    <w:basedOn w:val="DefaultParagraphFont"/>
    <w:uiPriority w:val="20"/>
    <w:qFormat/>
    <w:rsid w:val="002B12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399777">
      <w:bodyDiv w:val="1"/>
      <w:marLeft w:val="0"/>
      <w:marRight w:val="0"/>
      <w:marTop w:val="0"/>
      <w:marBottom w:val="0"/>
      <w:divBdr>
        <w:top w:val="none" w:sz="0" w:space="0" w:color="auto"/>
        <w:left w:val="none" w:sz="0" w:space="0" w:color="auto"/>
        <w:bottom w:val="none" w:sz="0" w:space="0" w:color="auto"/>
        <w:right w:val="none" w:sz="0" w:space="0" w:color="auto"/>
      </w:divBdr>
      <w:divsChild>
        <w:div w:id="1268074548">
          <w:marLeft w:val="0"/>
          <w:marRight w:val="0"/>
          <w:marTop w:val="0"/>
          <w:marBottom w:val="0"/>
          <w:divBdr>
            <w:top w:val="none" w:sz="0" w:space="0" w:color="auto"/>
            <w:left w:val="none" w:sz="0" w:space="0" w:color="auto"/>
            <w:bottom w:val="none" w:sz="0" w:space="0" w:color="auto"/>
            <w:right w:val="none" w:sz="0" w:space="0" w:color="auto"/>
          </w:divBdr>
          <w:divsChild>
            <w:div w:id="516622609">
              <w:marLeft w:val="0"/>
              <w:marRight w:val="0"/>
              <w:marTop w:val="0"/>
              <w:marBottom w:val="0"/>
              <w:divBdr>
                <w:top w:val="none" w:sz="0" w:space="0" w:color="auto"/>
                <w:left w:val="none" w:sz="0" w:space="0" w:color="auto"/>
                <w:bottom w:val="none" w:sz="0" w:space="0" w:color="auto"/>
                <w:right w:val="none" w:sz="0" w:space="0" w:color="auto"/>
              </w:divBdr>
              <w:divsChild>
                <w:div w:id="2143108244">
                  <w:marLeft w:val="0"/>
                  <w:marRight w:val="0"/>
                  <w:marTop w:val="0"/>
                  <w:marBottom w:val="0"/>
                  <w:divBdr>
                    <w:top w:val="none" w:sz="0" w:space="0" w:color="auto"/>
                    <w:left w:val="none" w:sz="0" w:space="0" w:color="auto"/>
                    <w:bottom w:val="none" w:sz="0" w:space="0" w:color="auto"/>
                    <w:right w:val="none" w:sz="0" w:space="0" w:color="auto"/>
                  </w:divBdr>
                  <w:divsChild>
                    <w:div w:id="582492909">
                      <w:marLeft w:val="0"/>
                      <w:marRight w:val="0"/>
                      <w:marTop w:val="0"/>
                      <w:marBottom w:val="0"/>
                      <w:divBdr>
                        <w:top w:val="none" w:sz="0" w:space="0" w:color="auto"/>
                        <w:left w:val="none" w:sz="0" w:space="0" w:color="auto"/>
                        <w:bottom w:val="none" w:sz="0" w:space="0" w:color="auto"/>
                        <w:right w:val="none" w:sz="0" w:space="0" w:color="auto"/>
                      </w:divBdr>
                      <w:divsChild>
                        <w:div w:id="2137943129">
                          <w:marLeft w:val="0"/>
                          <w:marRight w:val="0"/>
                          <w:marTop w:val="0"/>
                          <w:marBottom w:val="0"/>
                          <w:divBdr>
                            <w:top w:val="none" w:sz="0" w:space="0" w:color="auto"/>
                            <w:left w:val="none" w:sz="0" w:space="0" w:color="auto"/>
                            <w:bottom w:val="none" w:sz="0" w:space="0" w:color="auto"/>
                            <w:right w:val="none" w:sz="0" w:space="0" w:color="auto"/>
                          </w:divBdr>
                          <w:divsChild>
                            <w:div w:id="1839807976">
                              <w:marLeft w:val="0"/>
                              <w:marRight w:val="0"/>
                              <w:marTop w:val="0"/>
                              <w:marBottom w:val="0"/>
                              <w:divBdr>
                                <w:top w:val="none" w:sz="0" w:space="0" w:color="auto"/>
                                <w:left w:val="none" w:sz="0" w:space="0" w:color="auto"/>
                                <w:bottom w:val="none" w:sz="0" w:space="0" w:color="auto"/>
                                <w:right w:val="none" w:sz="0" w:space="0" w:color="auto"/>
                              </w:divBdr>
                            </w:div>
                          </w:divsChild>
                        </w:div>
                        <w:div w:id="1186868956">
                          <w:marLeft w:val="0"/>
                          <w:marRight w:val="0"/>
                          <w:marTop w:val="0"/>
                          <w:marBottom w:val="300"/>
                          <w:divBdr>
                            <w:top w:val="none" w:sz="0" w:space="0" w:color="auto"/>
                            <w:left w:val="none" w:sz="0" w:space="0" w:color="auto"/>
                            <w:bottom w:val="none" w:sz="0" w:space="0" w:color="auto"/>
                            <w:right w:val="none" w:sz="0" w:space="0" w:color="auto"/>
                          </w:divBdr>
                          <w:divsChild>
                            <w:div w:id="1757433282">
                              <w:marLeft w:val="0"/>
                              <w:marRight w:val="0"/>
                              <w:marTop w:val="0"/>
                              <w:marBottom w:val="0"/>
                              <w:divBdr>
                                <w:top w:val="none" w:sz="0" w:space="0" w:color="auto"/>
                                <w:left w:val="none" w:sz="0" w:space="0" w:color="auto"/>
                                <w:bottom w:val="none" w:sz="0" w:space="0" w:color="auto"/>
                                <w:right w:val="none" w:sz="0" w:space="0" w:color="auto"/>
                              </w:divBdr>
                              <w:divsChild>
                                <w:div w:id="1385451752">
                                  <w:marLeft w:val="0"/>
                                  <w:marRight w:val="0"/>
                                  <w:marTop w:val="0"/>
                                  <w:marBottom w:val="0"/>
                                  <w:divBdr>
                                    <w:top w:val="none" w:sz="0" w:space="0" w:color="auto"/>
                                    <w:left w:val="none" w:sz="0" w:space="0" w:color="auto"/>
                                    <w:bottom w:val="none" w:sz="0" w:space="0" w:color="auto"/>
                                    <w:right w:val="none" w:sz="0" w:space="0" w:color="auto"/>
                                  </w:divBdr>
                                  <w:divsChild>
                                    <w:div w:id="691541081">
                                      <w:marLeft w:val="0"/>
                                      <w:marRight w:val="0"/>
                                      <w:marTop w:val="0"/>
                                      <w:marBottom w:val="0"/>
                                      <w:divBdr>
                                        <w:top w:val="none" w:sz="0" w:space="0" w:color="auto"/>
                                        <w:left w:val="none" w:sz="0" w:space="0" w:color="auto"/>
                                        <w:bottom w:val="none" w:sz="0" w:space="0" w:color="auto"/>
                                        <w:right w:val="none" w:sz="0" w:space="0" w:color="auto"/>
                                      </w:divBdr>
                                    </w:div>
                                    <w:div w:id="809858619">
                                      <w:marLeft w:val="0"/>
                                      <w:marRight w:val="0"/>
                                      <w:marTop w:val="0"/>
                                      <w:marBottom w:val="0"/>
                                      <w:divBdr>
                                        <w:top w:val="none" w:sz="0" w:space="0" w:color="auto"/>
                                        <w:left w:val="none" w:sz="0" w:space="0" w:color="auto"/>
                                        <w:bottom w:val="none" w:sz="0" w:space="0" w:color="auto"/>
                                        <w:right w:val="none" w:sz="0" w:space="0" w:color="auto"/>
                                      </w:divBdr>
                                    </w:div>
                                    <w:div w:id="1775513143">
                                      <w:marLeft w:val="0"/>
                                      <w:marRight w:val="0"/>
                                      <w:marTop w:val="0"/>
                                      <w:marBottom w:val="0"/>
                                      <w:divBdr>
                                        <w:top w:val="none" w:sz="0" w:space="0" w:color="auto"/>
                                        <w:left w:val="none" w:sz="0" w:space="0" w:color="auto"/>
                                        <w:bottom w:val="none" w:sz="0" w:space="0" w:color="auto"/>
                                        <w:right w:val="none" w:sz="0" w:space="0" w:color="auto"/>
                                      </w:divBdr>
                                    </w:div>
                                    <w:div w:id="174271840">
                                      <w:marLeft w:val="0"/>
                                      <w:marRight w:val="0"/>
                                      <w:marTop w:val="0"/>
                                      <w:marBottom w:val="0"/>
                                      <w:divBdr>
                                        <w:top w:val="none" w:sz="0" w:space="0" w:color="auto"/>
                                        <w:left w:val="none" w:sz="0" w:space="0" w:color="auto"/>
                                        <w:bottom w:val="none" w:sz="0" w:space="0" w:color="auto"/>
                                        <w:right w:val="none" w:sz="0" w:space="0" w:color="auto"/>
                                      </w:divBdr>
                                    </w:div>
                                    <w:div w:id="130411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4504">
                              <w:marLeft w:val="0"/>
                              <w:marRight w:val="0"/>
                              <w:marTop w:val="0"/>
                              <w:marBottom w:val="0"/>
                              <w:divBdr>
                                <w:top w:val="none" w:sz="0" w:space="0" w:color="auto"/>
                                <w:left w:val="none" w:sz="0" w:space="0" w:color="auto"/>
                                <w:bottom w:val="none" w:sz="0" w:space="0" w:color="auto"/>
                                <w:right w:val="none" w:sz="0" w:space="0" w:color="auto"/>
                              </w:divBdr>
                              <w:divsChild>
                                <w:div w:id="1803383954">
                                  <w:marLeft w:val="0"/>
                                  <w:marRight w:val="0"/>
                                  <w:marTop w:val="0"/>
                                  <w:marBottom w:val="0"/>
                                  <w:divBdr>
                                    <w:top w:val="none" w:sz="0" w:space="0" w:color="auto"/>
                                    <w:left w:val="none" w:sz="0" w:space="0" w:color="auto"/>
                                    <w:bottom w:val="none" w:sz="0" w:space="0" w:color="auto"/>
                                    <w:right w:val="none" w:sz="0" w:space="0" w:color="auto"/>
                                  </w:divBdr>
                                  <w:divsChild>
                                    <w:div w:id="406466272">
                                      <w:marLeft w:val="0"/>
                                      <w:marRight w:val="0"/>
                                      <w:marTop w:val="0"/>
                                      <w:marBottom w:val="0"/>
                                      <w:divBdr>
                                        <w:top w:val="none" w:sz="0" w:space="0" w:color="auto"/>
                                        <w:left w:val="none" w:sz="0" w:space="0" w:color="auto"/>
                                        <w:bottom w:val="none" w:sz="0" w:space="0" w:color="auto"/>
                                        <w:right w:val="none" w:sz="0" w:space="0" w:color="auto"/>
                                      </w:divBdr>
                                    </w:div>
                                    <w:div w:id="1447388537">
                                      <w:marLeft w:val="0"/>
                                      <w:marRight w:val="0"/>
                                      <w:marTop w:val="0"/>
                                      <w:marBottom w:val="0"/>
                                      <w:divBdr>
                                        <w:top w:val="none" w:sz="0" w:space="0" w:color="auto"/>
                                        <w:left w:val="none" w:sz="0" w:space="0" w:color="auto"/>
                                        <w:bottom w:val="none" w:sz="0" w:space="0" w:color="auto"/>
                                        <w:right w:val="none" w:sz="0" w:space="0" w:color="auto"/>
                                      </w:divBdr>
                                    </w:div>
                                    <w:div w:id="2093161590">
                                      <w:marLeft w:val="0"/>
                                      <w:marRight w:val="0"/>
                                      <w:marTop w:val="0"/>
                                      <w:marBottom w:val="0"/>
                                      <w:divBdr>
                                        <w:top w:val="none" w:sz="0" w:space="0" w:color="auto"/>
                                        <w:left w:val="none" w:sz="0" w:space="0" w:color="auto"/>
                                        <w:bottom w:val="none" w:sz="0" w:space="0" w:color="auto"/>
                                        <w:right w:val="none" w:sz="0" w:space="0" w:color="auto"/>
                                      </w:divBdr>
                                    </w:div>
                                    <w:div w:id="1610503993">
                                      <w:marLeft w:val="0"/>
                                      <w:marRight w:val="0"/>
                                      <w:marTop w:val="0"/>
                                      <w:marBottom w:val="0"/>
                                      <w:divBdr>
                                        <w:top w:val="none" w:sz="0" w:space="0" w:color="auto"/>
                                        <w:left w:val="none" w:sz="0" w:space="0" w:color="auto"/>
                                        <w:bottom w:val="none" w:sz="0" w:space="0" w:color="auto"/>
                                        <w:right w:val="none" w:sz="0" w:space="0" w:color="auto"/>
                                      </w:divBdr>
                                    </w:div>
                                    <w:div w:id="1108624525">
                                      <w:marLeft w:val="0"/>
                                      <w:marRight w:val="0"/>
                                      <w:marTop w:val="0"/>
                                      <w:marBottom w:val="0"/>
                                      <w:divBdr>
                                        <w:top w:val="none" w:sz="0" w:space="0" w:color="auto"/>
                                        <w:left w:val="none" w:sz="0" w:space="0" w:color="auto"/>
                                        <w:bottom w:val="none" w:sz="0" w:space="0" w:color="auto"/>
                                        <w:right w:val="none" w:sz="0" w:space="0" w:color="auto"/>
                                      </w:divBdr>
                                    </w:div>
                                    <w:div w:id="1919827070">
                                      <w:marLeft w:val="0"/>
                                      <w:marRight w:val="0"/>
                                      <w:marTop w:val="0"/>
                                      <w:marBottom w:val="0"/>
                                      <w:divBdr>
                                        <w:top w:val="none" w:sz="0" w:space="0" w:color="auto"/>
                                        <w:left w:val="none" w:sz="0" w:space="0" w:color="auto"/>
                                        <w:bottom w:val="none" w:sz="0" w:space="0" w:color="auto"/>
                                        <w:right w:val="none" w:sz="0" w:space="0" w:color="auto"/>
                                      </w:divBdr>
                                    </w:div>
                                    <w:div w:id="11814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18422">
                          <w:marLeft w:val="0"/>
                          <w:marRight w:val="0"/>
                          <w:marTop w:val="0"/>
                          <w:marBottom w:val="0"/>
                          <w:divBdr>
                            <w:top w:val="none" w:sz="0" w:space="0" w:color="auto"/>
                            <w:left w:val="none" w:sz="0" w:space="0" w:color="auto"/>
                            <w:bottom w:val="none" w:sz="0" w:space="0" w:color="auto"/>
                            <w:right w:val="none" w:sz="0" w:space="0" w:color="auto"/>
                          </w:divBdr>
                          <w:divsChild>
                            <w:div w:id="1314599965">
                              <w:marLeft w:val="0"/>
                              <w:marRight w:val="0"/>
                              <w:marTop w:val="0"/>
                              <w:marBottom w:val="0"/>
                              <w:divBdr>
                                <w:top w:val="none" w:sz="0" w:space="0" w:color="auto"/>
                                <w:left w:val="none" w:sz="0" w:space="0" w:color="auto"/>
                                <w:bottom w:val="none" w:sz="0" w:space="0" w:color="auto"/>
                                <w:right w:val="none" w:sz="0" w:space="0" w:color="auto"/>
                              </w:divBdr>
                            </w:div>
                            <w:div w:id="1711613834">
                              <w:marLeft w:val="0"/>
                              <w:marRight w:val="0"/>
                              <w:marTop w:val="0"/>
                              <w:marBottom w:val="0"/>
                              <w:divBdr>
                                <w:top w:val="none" w:sz="0" w:space="0" w:color="auto"/>
                                <w:left w:val="none" w:sz="0" w:space="0" w:color="auto"/>
                                <w:bottom w:val="none" w:sz="0" w:space="0" w:color="auto"/>
                                <w:right w:val="none" w:sz="0" w:space="0" w:color="auto"/>
                              </w:divBdr>
                            </w:div>
                            <w:div w:id="1701777713">
                              <w:marLeft w:val="0"/>
                              <w:marRight w:val="0"/>
                              <w:marTop w:val="0"/>
                              <w:marBottom w:val="0"/>
                              <w:divBdr>
                                <w:top w:val="none" w:sz="0" w:space="0" w:color="auto"/>
                                <w:left w:val="none" w:sz="0" w:space="0" w:color="auto"/>
                                <w:bottom w:val="none" w:sz="0" w:space="0" w:color="auto"/>
                                <w:right w:val="none" w:sz="0" w:space="0" w:color="auto"/>
                              </w:divBdr>
                            </w:div>
                            <w:div w:id="231743821">
                              <w:marLeft w:val="0"/>
                              <w:marRight w:val="0"/>
                              <w:marTop w:val="0"/>
                              <w:marBottom w:val="0"/>
                              <w:divBdr>
                                <w:top w:val="none" w:sz="0" w:space="0" w:color="auto"/>
                                <w:left w:val="none" w:sz="0" w:space="0" w:color="auto"/>
                                <w:bottom w:val="none" w:sz="0" w:space="0" w:color="auto"/>
                                <w:right w:val="none" w:sz="0" w:space="0" w:color="auto"/>
                              </w:divBdr>
                            </w:div>
                            <w:div w:id="325398469">
                              <w:marLeft w:val="0"/>
                              <w:marRight w:val="0"/>
                              <w:marTop w:val="0"/>
                              <w:marBottom w:val="0"/>
                              <w:divBdr>
                                <w:top w:val="none" w:sz="0" w:space="0" w:color="auto"/>
                                <w:left w:val="none" w:sz="0" w:space="0" w:color="auto"/>
                                <w:bottom w:val="none" w:sz="0" w:space="0" w:color="auto"/>
                                <w:right w:val="none" w:sz="0" w:space="0" w:color="auto"/>
                              </w:divBdr>
                            </w:div>
                            <w:div w:id="604846070">
                              <w:marLeft w:val="0"/>
                              <w:marRight w:val="0"/>
                              <w:marTop w:val="0"/>
                              <w:marBottom w:val="0"/>
                              <w:divBdr>
                                <w:top w:val="none" w:sz="0" w:space="0" w:color="auto"/>
                                <w:left w:val="none" w:sz="0" w:space="0" w:color="auto"/>
                                <w:bottom w:val="none" w:sz="0" w:space="0" w:color="auto"/>
                                <w:right w:val="none" w:sz="0" w:space="0" w:color="auto"/>
                              </w:divBdr>
                            </w:div>
                            <w:div w:id="1988434431">
                              <w:marLeft w:val="0"/>
                              <w:marRight w:val="0"/>
                              <w:marTop w:val="0"/>
                              <w:marBottom w:val="0"/>
                              <w:divBdr>
                                <w:top w:val="none" w:sz="0" w:space="0" w:color="auto"/>
                                <w:left w:val="none" w:sz="0" w:space="0" w:color="auto"/>
                                <w:bottom w:val="none" w:sz="0" w:space="0" w:color="auto"/>
                                <w:right w:val="none" w:sz="0" w:space="0" w:color="auto"/>
                              </w:divBdr>
                            </w:div>
                            <w:div w:id="1735467848">
                              <w:marLeft w:val="0"/>
                              <w:marRight w:val="0"/>
                              <w:marTop w:val="0"/>
                              <w:marBottom w:val="0"/>
                              <w:divBdr>
                                <w:top w:val="none" w:sz="0" w:space="0" w:color="auto"/>
                                <w:left w:val="none" w:sz="0" w:space="0" w:color="auto"/>
                                <w:bottom w:val="none" w:sz="0" w:space="0" w:color="auto"/>
                                <w:right w:val="none" w:sz="0" w:space="0" w:color="auto"/>
                              </w:divBdr>
                            </w:div>
                            <w:div w:id="581378396">
                              <w:marLeft w:val="0"/>
                              <w:marRight w:val="0"/>
                              <w:marTop w:val="0"/>
                              <w:marBottom w:val="0"/>
                              <w:divBdr>
                                <w:top w:val="none" w:sz="0" w:space="0" w:color="auto"/>
                                <w:left w:val="none" w:sz="0" w:space="0" w:color="auto"/>
                                <w:bottom w:val="none" w:sz="0" w:space="0" w:color="auto"/>
                                <w:right w:val="none" w:sz="0" w:space="0" w:color="auto"/>
                              </w:divBdr>
                            </w:div>
                            <w:div w:id="1330981898">
                              <w:marLeft w:val="0"/>
                              <w:marRight w:val="0"/>
                              <w:marTop w:val="0"/>
                              <w:marBottom w:val="0"/>
                              <w:divBdr>
                                <w:top w:val="none" w:sz="0" w:space="0" w:color="auto"/>
                                <w:left w:val="none" w:sz="0" w:space="0" w:color="auto"/>
                                <w:bottom w:val="none" w:sz="0" w:space="0" w:color="auto"/>
                                <w:right w:val="none" w:sz="0" w:space="0" w:color="auto"/>
                              </w:divBdr>
                            </w:div>
                            <w:div w:id="313267958">
                              <w:marLeft w:val="0"/>
                              <w:marRight w:val="0"/>
                              <w:marTop w:val="0"/>
                              <w:marBottom w:val="0"/>
                              <w:divBdr>
                                <w:top w:val="none" w:sz="0" w:space="0" w:color="auto"/>
                                <w:left w:val="none" w:sz="0" w:space="0" w:color="auto"/>
                                <w:bottom w:val="none" w:sz="0" w:space="0" w:color="auto"/>
                                <w:right w:val="none" w:sz="0" w:space="0" w:color="auto"/>
                              </w:divBdr>
                            </w:div>
                            <w:div w:id="1508061977">
                              <w:marLeft w:val="0"/>
                              <w:marRight w:val="0"/>
                              <w:marTop w:val="0"/>
                              <w:marBottom w:val="0"/>
                              <w:divBdr>
                                <w:top w:val="none" w:sz="0" w:space="0" w:color="auto"/>
                                <w:left w:val="none" w:sz="0" w:space="0" w:color="auto"/>
                                <w:bottom w:val="none" w:sz="0" w:space="0" w:color="auto"/>
                                <w:right w:val="none" w:sz="0" w:space="0" w:color="auto"/>
                              </w:divBdr>
                            </w:div>
                            <w:div w:id="17692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transforminglibraries/future/trends/emergingadulthood" TargetMode="External"/><Relationship Id="rId13" Type="http://schemas.openxmlformats.org/officeDocument/2006/relationships/hyperlink" Target="http://www.slate.com/blogs/lexicon_valley/2014/08/22/emerging_adults_teenagers_adolescents_and_other_words_for_young_people_are.html" TargetMode="External"/><Relationship Id="rId18" Type="http://schemas.openxmlformats.org/officeDocument/2006/relationships/hyperlink" Target="http://www.nytimes.com/2010/08/22/magazine/22Adulthood-t.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ala.org/transforminglibraries/future/trends/emergingadulthood" TargetMode="External"/><Relationship Id="rId12" Type="http://schemas.openxmlformats.org/officeDocument/2006/relationships/hyperlink" Target="http://www.ala.org/transforminglibraries/future/trends/emergingadulthood" TargetMode="External"/><Relationship Id="rId17" Type="http://schemas.openxmlformats.org/officeDocument/2006/relationships/hyperlink" Target="http://www.wsj.com/articles/SB10001424052748704409004576146321725889448" TargetMode="External"/><Relationship Id="rId2" Type="http://schemas.openxmlformats.org/officeDocument/2006/relationships/settings" Target="settings.xml"/><Relationship Id="rId16" Type="http://schemas.openxmlformats.org/officeDocument/2006/relationships/hyperlink" Target="http://blogs.scientificamerican.com/brainwaves/2012/08/29/the-neuroscience-of-twenty-something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la.org/transforminglibraries/future/trends/emergingadulthood" TargetMode="External"/><Relationship Id="rId11" Type="http://schemas.openxmlformats.org/officeDocument/2006/relationships/hyperlink" Target="http://www.ala.org/transforminglibraries/future/trends/emergingadulthood" TargetMode="External"/><Relationship Id="rId5" Type="http://schemas.openxmlformats.org/officeDocument/2006/relationships/hyperlink" Target="http://www.jeffreyarnett.com/articles/ARNETT_Emerging_Adulthood_theory.pdf" TargetMode="External"/><Relationship Id="rId15" Type="http://schemas.openxmlformats.org/officeDocument/2006/relationships/hyperlink" Target="http://blog.thenest.com/2012/05/17/all-grown-up-have-you-completed-the-5-milestones-of-adulthood/" TargetMode="External"/><Relationship Id="rId10" Type="http://schemas.openxmlformats.org/officeDocument/2006/relationships/hyperlink" Target="http://www.ala.org/transforminglibraries/future/trends/emergingadulthood" TargetMode="External"/><Relationship Id="rId19" Type="http://schemas.openxmlformats.org/officeDocument/2006/relationships/hyperlink" Target="http://www.nytimes.com/2012/05/31/opinion/the-parent-trap.html" TargetMode="External"/><Relationship Id="rId4" Type="http://schemas.openxmlformats.org/officeDocument/2006/relationships/image" Target="media/image1.png"/><Relationship Id="rId9" Type="http://schemas.openxmlformats.org/officeDocument/2006/relationships/hyperlink" Target="http://www.ala.org/transforminglibraries/future/trends/emergingadulthood" TargetMode="External"/><Relationship Id="rId14" Type="http://schemas.openxmlformats.org/officeDocument/2006/relationships/hyperlink" Target="http://blogs.scientificamerican.com/brainwaves/2012/08/29/the-neuroscience-of-twenty-someth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Laughlin</dc:creator>
  <cp:keywords/>
  <dc:description/>
  <cp:lastModifiedBy>Sara Laughlin</cp:lastModifiedBy>
  <cp:revision>3</cp:revision>
  <dcterms:created xsi:type="dcterms:W3CDTF">2015-08-29T17:56:00Z</dcterms:created>
  <dcterms:modified xsi:type="dcterms:W3CDTF">2015-08-31T17:43:00Z</dcterms:modified>
</cp:coreProperties>
</file>